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2022</w:t>
      </w:r>
      <w:r>
        <w:rPr>
          <w:rFonts w:hint="eastAsia"/>
          <w:sz w:val="52"/>
          <w:szCs w:val="52"/>
        </w:rPr>
        <w:t>年</w:t>
      </w:r>
      <w:r>
        <w:rPr>
          <w:rFonts w:hint="eastAsia"/>
          <w:sz w:val="52"/>
          <w:szCs w:val="52"/>
          <w:lang w:eastAsia="zh-CN"/>
        </w:rPr>
        <w:t>海口市药品不良反应</w:t>
      </w:r>
    </w:p>
    <w:p>
      <w:pPr>
        <w:jc w:val="center"/>
        <w:rPr>
          <w:sz w:val="52"/>
          <w:szCs w:val="52"/>
        </w:rPr>
      </w:pPr>
      <w:r>
        <w:rPr>
          <w:rFonts w:hint="eastAsia"/>
          <w:sz w:val="52"/>
          <w:szCs w:val="52"/>
          <w:lang w:eastAsia="zh-CN"/>
        </w:rPr>
        <w:t>监测中心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jc w:val="both"/>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rPr>
        <w:t>（单位）概况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pacing w:val="-20"/>
          <w:sz w:val="32"/>
          <w:szCs w:val="32"/>
        </w:rPr>
      </w:pPr>
      <w:r>
        <w:rPr>
          <w:rFonts w:hint="eastAsia" w:ascii="黑体" w:hAnsi="黑体" w:eastAsia="黑体"/>
          <w:sz w:val="32"/>
          <w:szCs w:val="32"/>
        </w:rPr>
        <w:t xml:space="preserve">  </w:t>
      </w:r>
      <w:r>
        <w:rPr>
          <w:rFonts w:hint="eastAsia" w:ascii="黑体" w:hAnsi="黑体" w:eastAsia="黑体" w:cs="黑体"/>
          <w:spacing w:val="-20"/>
          <w:sz w:val="32"/>
          <w:szCs w:val="32"/>
          <w:lang w:eastAsia="zh-CN"/>
        </w:rPr>
        <w:t>海口市药品不良反应监测中心</w:t>
      </w:r>
      <w:r>
        <w:rPr>
          <w:rFonts w:hint="eastAsia" w:ascii="黑体" w:hAnsi="黑体" w:eastAsia="黑体" w:cs="黑体"/>
          <w:spacing w:val="-20"/>
          <w:sz w:val="32"/>
          <w:szCs w:val="32"/>
          <w:lang w:val="en-US" w:eastAsia="zh-CN"/>
        </w:rPr>
        <w:t>2022</w:t>
      </w:r>
      <w:r>
        <w:rPr>
          <w:rFonts w:hint="eastAsia" w:ascii="黑体" w:hAnsi="黑体" w:eastAsia="黑体"/>
          <w:spacing w:val="-20"/>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海口市药品不良反应监测中心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（一）承担本辖区内</w:t>
      </w:r>
      <w:r>
        <w:rPr>
          <w:rFonts w:hint="eastAsia" w:ascii="仿宋_GB2312" w:hAnsi="黑体" w:eastAsia="仿宋_GB2312" w:cs="仿宋_GB2312"/>
          <w:sz w:val="32"/>
          <w:szCs w:val="32"/>
          <w:lang w:eastAsia="zh-CN"/>
        </w:rPr>
        <w:t>药品、医疗器械、化妆品（以下简称</w:t>
      </w:r>
      <w:r>
        <w:rPr>
          <w:rFonts w:hint="eastAsia" w:ascii="仿宋_GB2312" w:hAnsi="黑体" w:eastAsia="仿宋_GB2312" w:cs="仿宋_GB2312"/>
          <w:sz w:val="32"/>
          <w:szCs w:val="32"/>
        </w:rPr>
        <w:t>“两品一械”</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和药物滥用等监测的工作职能，负责对全市“两品一械”不良反应/事件和药物滥用监测资料和报告进行收集、核实、评价、反馈和上报等相关工作。</w:t>
      </w:r>
      <w:bookmarkStart w:id="0" w:name="_GoBack"/>
      <w:bookmarkEnd w:id="0"/>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（二）承担辖区内严重“两品一械”不良反应/事件的调查工作，协助有关部门开展群体“两品一械”不良反应/事件调查，并进行分析和评价。</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（三）负责辖区内“两品一械” 不良反应/事件和药物滥用监测工作的宣传、教育和培训工作。</w:t>
      </w:r>
    </w:p>
    <w:p>
      <w:pPr>
        <w:pStyle w:val="6"/>
        <w:numPr>
          <w:ilvl w:val="-1"/>
          <w:numId w:val="0"/>
        </w:numPr>
        <w:spacing w:line="360" w:lineRule="auto"/>
        <w:ind w:left="420" w:leftChars="20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（四）承担上级交办的其他事项。</w:t>
      </w: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1"/>
          <w:numId w:val="0"/>
        </w:numPr>
        <w:ind w:left="420" w:leftChars="200" w:firstLine="0" w:firstLineChars="0"/>
        <w:jc w:val="left"/>
        <w:rPr>
          <w:rFonts w:hint="eastAsia" w:ascii="仿宋_GB2312" w:hAnsi="黑体" w:eastAsia="仿宋_GB2312" w:cs="仿宋_GB2312"/>
          <w:sz w:val="32"/>
          <w:szCs w:val="32"/>
        </w:rPr>
      </w:pPr>
    </w:p>
    <w:p>
      <w:pPr>
        <w:pStyle w:val="6"/>
        <w:numPr>
          <w:ilvl w:val="0"/>
          <w:numId w:val="0"/>
        </w:numPr>
        <w:ind w:left="420" w:leftChars="200" w:firstLine="0" w:firstLineChars="0"/>
        <w:jc w:val="left"/>
        <w:rPr>
          <w:rFonts w:ascii="仿宋_GB2312" w:hAnsi="黑体" w:eastAsia="仿宋_GB2312" w:cs="仿宋_GB2312"/>
          <w:sz w:val="32"/>
          <w:szCs w:val="32"/>
        </w:rPr>
      </w:pPr>
    </w:p>
    <w:p>
      <w:pPr>
        <w:numPr>
          <w:ilvl w:val="0"/>
          <w:numId w:val="5"/>
        </w:numPr>
        <w:ind w:firstLine="640" w:firstLineChars="200"/>
        <w:jc w:val="center"/>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黑体"/>
          <w:kern w:val="2"/>
          <w:sz w:val="32"/>
          <w:szCs w:val="32"/>
          <w:lang w:val="en-US" w:eastAsia="zh-CN" w:bidi="ar-SA"/>
        </w:rPr>
        <w:t>海口市药品不良反应监测中心2022年（单位）预算表</w:t>
      </w:r>
    </w:p>
    <w:p>
      <w:pPr>
        <w:numPr>
          <w:ilvl w:val="-1"/>
          <w:numId w:val="0"/>
        </w:numPr>
        <w:ind w:firstLine="0" w:firstLineChars="0"/>
        <w:rPr>
          <w:rFonts w:hint="eastAsia" w:ascii="黑体" w:hAnsi="黑体" w:eastAsia="黑体"/>
          <w:sz w:val="32"/>
          <w:szCs w:val="32"/>
        </w:rPr>
      </w:pPr>
    </w:p>
    <w:p>
      <w:pPr>
        <w:numPr>
          <w:ilvl w:val="-1"/>
          <w:numId w:val="0"/>
        </w:numPr>
        <w:ind w:firstLine="0" w:firstLineChars="0"/>
        <w:rPr>
          <w:rFonts w:hint="eastAsia" w:ascii="黑体" w:hAnsi="黑体" w:eastAsia="黑体"/>
          <w:sz w:val="32"/>
          <w:szCs w:val="32"/>
        </w:rPr>
      </w:pPr>
    </w:p>
    <w:tbl>
      <w:tblPr>
        <w:tblStyle w:val="4"/>
        <w:tblW w:w="7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78"/>
        <w:gridCol w:w="771"/>
        <w:gridCol w:w="1734"/>
        <w:gridCol w:w="307"/>
        <w:gridCol w:w="881"/>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4" w:hRule="atLeast"/>
        </w:trPr>
        <w:tc>
          <w:tcPr>
            <w:tcW w:w="78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（一）</w:t>
            </w:r>
            <w:r>
              <w:rPr>
                <w:rFonts w:hint="eastAsia" w:ascii="仿宋_GB2312" w:hAnsi="黑体" w:eastAsia="仿宋_GB2312" w:cs="仿宋_GB2312"/>
                <w:b/>
                <w:bCs/>
                <w:i w:val="0"/>
                <w:color w:val="auto"/>
                <w:kern w:val="2"/>
                <w:sz w:val="32"/>
                <w:szCs w:val="32"/>
                <w:u w:val="none"/>
                <w:lang w:val="en-US" w:eastAsia="zh-CN" w:bidi="ar-SA"/>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4" w:hRule="atLeast"/>
        </w:trPr>
        <w:tc>
          <w:tcPr>
            <w:tcW w:w="287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77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173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30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88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124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36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w:t>
            </w:r>
          </w:p>
        </w:tc>
        <w:tc>
          <w:tcPr>
            <w:tcW w:w="417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346.26</w:t>
            </w: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267.16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30.87</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4"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（十）住房保障支出</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trPr>
        <w:tc>
          <w:tcPr>
            <w:tcW w:w="2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346.26</w:t>
            </w:r>
          </w:p>
        </w:tc>
        <w:tc>
          <w:tcPr>
            <w:tcW w:w="173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346.26</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bl>
    <w:p>
      <w:pPr>
        <w:ind w:left="800"/>
        <w:jc w:val="left"/>
        <w:rPr>
          <w:rFonts w:ascii="黑体" w:hAnsi="黑体" w:eastAsia="黑体"/>
          <w:sz w:val="32"/>
          <w:szCs w:val="32"/>
        </w:rPr>
      </w:pPr>
    </w:p>
    <w:p>
      <w:pPr>
        <w:ind w:left="800"/>
        <w:jc w:val="left"/>
        <w:rPr>
          <w:rFonts w:ascii="黑体" w:hAnsi="黑体" w:eastAsia="黑体"/>
          <w:sz w:val="32"/>
          <w:szCs w:val="32"/>
        </w:rPr>
      </w:pPr>
    </w:p>
    <w:tbl>
      <w:tblPr>
        <w:tblStyle w:val="4"/>
        <w:tblW w:w="7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3"/>
        <w:gridCol w:w="503"/>
        <w:gridCol w:w="439"/>
        <w:gridCol w:w="3279"/>
        <w:gridCol w:w="1082"/>
        <w:gridCol w:w="954"/>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3" w:hRule="atLeast"/>
        </w:trPr>
        <w:tc>
          <w:tcPr>
            <w:tcW w:w="787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（二）</w:t>
            </w:r>
            <w:r>
              <w:rPr>
                <w:rFonts w:hint="eastAsia" w:ascii="仿宋_GB2312" w:hAnsi="黑体" w:eastAsia="仿宋_GB2312" w:cs="仿宋_GB2312"/>
                <w:b/>
                <w:bCs/>
                <w:i w:val="0"/>
                <w:color w:val="auto"/>
                <w:kern w:val="2"/>
                <w:sz w:val="32"/>
                <w:szCs w:val="32"/>
                <w:u w:val="none"/>
                <w:lang w:val="en-US" w:eastAsia="zh-CN" w:bidi="ar-SA"/>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3" w:hRule="atLeast"/>
        </w:trPr>
        <w:tc>
          <w:tcPr>
            <w:tcW w:w="49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50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3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7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108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95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4"/>
                <w:szCs w:val="44"/>
                <w:u w:val="none"/>
              </w:rPr>
            </w:pPr>
          </w:p>
        </w:tc>
        <w:tc>
          <w:tcPr>
            <w:tcW w:w="112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71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31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14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27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346.26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316.26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267.16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市场监督管理事务</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267.16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药品事务</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事业运行</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252.16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208</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社会保障和就业支出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卫生健康支出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30.87</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30.87</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事业单位医疗</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8"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其他行政事业单位医疗支出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住房保障支出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9"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4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3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tbl>
      <w:tblPr>
        <w:tblStyle w:val="4"/>
        <w:tblW w:w="8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14"/>
        <w:gridCol w:w="1224"/>
        <w:gridCol w:w="1260"/>
        <w:gridCol w:w="1305"/>
      </w:tblGrid>
      <w:tr>
        <w:tblPrEx>
          <w:tblLayout w:type="fixed"/>
          <w:tblCellMar>
            <w:top w:w="0" w:type="dxa"/>
            <w:left w:w="0" w:type="dxa"/>
            <w:bottom w:w="0" w:type="dxa"/>
            <w:right w:w="0" w:type="dxa"/>
          </w:tblCellMar>
        </w:tblPrEx>
        <w:trPr>
          <w:trHeight w:val="499" w:hRule="atLeast"/>
        </w:trPr>
        <w:tc>
          <w:tcPr>
            <w:tcW w:w="8503"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（三）</w:t>
            </w:r>
            <w:r>
              <w:rPr>
                <w:rFonts w:hint="eastAsia" w:ascii="仿宋_GB2312" w:hAnsi="黑体" w:eastAsia="仿宋_GB2312" w:cs="仿宋_GB2312"/>
                <w:b/>
                <w:bCs/>
                <w:i w:val="0"/>
                <w:color w:val="auto"/>
                <w:kern w:val="2"/>
                <w:sz w:val="32"/>
                <w:szCs w:val="32"/>
                <w:u w:val="none"/>
                <w:lang w:val="en-US" w:eastAsia="zh-CN" w:bidi="ar-SA"/>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471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2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支出经济分类科目</w:t>
            </w:r>
          </w:p>
        </w:tc>
        <w:tc>
          <w:tcPr>
            <w:tcW w:w="378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工资福利支出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285.86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283.13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津贴补贴</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奖金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绩效工资</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机关事业单位基本养老保险缴费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职工基本医疗保险缴费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公务员医疗补助缴费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其他社会保障缴费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住房公积金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医疗费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商品和服务支出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办公费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印刷费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水费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电费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邮电费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物业管理费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维修（护）费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租赁费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培训费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专用材料费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工会经费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其他商品和服务支出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对个人和家庭的补助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生活补助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奖励金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资本性支出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办公设备购置</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4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316.26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285.40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30.86</w:t>
            </w: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tbl>
      <w:tblPr>
        <w:tblStyle w:val="4"/>
        <w:tblW w:w="8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5"/>
        <w:gridCol w:w="813"/>
        <w:gridCol w:w="555"/>
        <w:gridCol w:w="705"/>
        <w:gridCol w:w="735"/>
        <w:gridCol w:w="735"/>
        <w:gridCol w:w="675"/>
        <w:gridCol w:w="810"/>
        <w:gridCol w:w="540"/>
        <w:gridCol w:w="795"/>
        <w:gridCol w:w="780"/>
        <w:gridCol w:w="990"/>
      </w:tblGrid>
      <w:tr>
        <w:tblPrEx>
          <w:tblLayout w:type="fixed"/>
          <w:tblCellMar>
            <w:top w:w="0" w:type="dxa"/>
            <w:left w:w="0" w:type="dxa"/>
            <w:bottom w:w="0" w:type="dxa"/>
            <w:right w:w="0" w:type="dxa"/>
          </w:tblCellMar>
        </w:tblPrEx>
        <w:trPr>
          <w:trHeight w:val="690" w:hRule="atLeast"/>
        </w:trPr>
        <w:tc>
          <w:tcPr>
            <w:tcW w:w="8668"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（四）</w:t>
            </w:r>
            <w:r>
              <w:rPr>
                <w:rFonts w:hint="eastAsia" w:ascii="仿宋_GB2312" w:hAnsi="黑体" w:eastAsia="仿宋_GB2312" w:cs="仿宋_GB2312"/>
                <w:b/>
                <w:bCs/>
                <w:i w:val="0"/>
                <w:color w:val="auto"/>
                <w:kern w:val="2"/>
                <w:sz w:val="32"/>
                <w:szCs w:val="32"/>
                <w:u w:val="none"/>
                <w:lang w:val="en-US" w:eastAsia="zh-CN" w:bidi="ar-SA"/>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53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1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407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2021年预算数</w:t>
            </w:r>
          </w:p>
        </w:tc>
        <w:tc>
          <w:tcPr>
            <w:tcW w:w="45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w:t>
            </w:r>
          </w:p>
        </w:tc>
        <w:tc>
          <w:tcPr>
            <w:tcW w:w="21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0" w:hRule="atLeast"/>
        </w:trPr>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rPr>
          <w:rFonts w:ascii="黑体" w:hAnsi="黑体" w:eastAsia="黑体"/>
          <w:sz w:val="32"/>
          <w:szCs w:val="32"/>
        </w:rPr>
      </w:pPr>
    </w:p>
    <w:p>
      <w:pPr>
        <w:rPr>
          <w:rFonts w:ascii="黑体" w:hAnsi="黑体" w:eastAsia="黑体"/>
          <w:sz w:val="32"/>
          <w:szCs w:val="32"/>
        </w:rPr>
      </w:pPr>
    </w:p>
    <w:tbl>
      <w:tblPr>
        <w:tblStyle w:val="4"/>
        <w:tblW w:w="78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78"/>
        <w:gridCol w:w="890"/>
        <w:gridCol w:w="825"/>
        <w:gridCol w:w="1035"/>
        <w:gridCol w:w="1035"/>
        <w:gridCol w:w="165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5" w:hRule="atLeast"/>
        </w:trPr>
        <w:tc>
          <w:tcPr>
            <w:tcW w:w="4663"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（五）</w:t>
            </w:r>
            <w:r>
              <w:rPr>
                <w:rFonts w:hint="eastAsia" w:ascii="仿宋_GB2312" w:hAnsi="黑体" w:eastAsia="仿宋_GB2312" w:cs="仿宋_GB2312"/>
                <w:b/>
                <w:bCs/>
                <w:i w:val="0"/>
                <w:color w:val="auto"/>
                <w:kern w:val="2"/>
                <w:sz w:val="32"/>
                <w:szCs w:val="32"/>
                <w:u w:val="none"/>
                <w:lang w:val="en-US" w:eastAsia="zh-CN" w:bidi="ar-SA"/>
              </w:rPr>
              <w:t>政府性基金预算支出表</w:t>
            </w:r>
          </w:p>
        </w:tc>
        <w:tc>
          <w:tcPr>
            <w:tcW w:w="16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44"/>
                <w:szCs w:val="44"/>
                <w:u w:val="none"/>
              </w:rPr>
            </w:pPr>
          </w:p>
        </w:tc>
        <w:tc>
          <w:tcPr>
            <w:tcW w:w="15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8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36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41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259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0"/>
                <w:szCs w:val="20"/>
                <w:u w:val="none"/>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tbl>
      <w:tblPr>
        <w:tblStyle w:val="4"/>
        <w:tblW w:w="94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2"/>
        <w:gridCol w:w="664"/>
        <w:gridCol w:w="547"/>
        <w:gridCol w:w="985"/>
        <w:gridCol w:w="975"/>
        <w:gridCol w:w="795"/>
        <w:gridCol w:w="525"/>
        <w:gridCol w:w="1005"/>
        <w:gridCol w:w="525"/>
        <w:gridCol w:w="975"/>
        <w:gridCol w:w="930"/>
        <w:gridCol w:w="975"/>
      </w:tblGrid>
      <w:tr>
        <w:tblPrEx>
          <w:tblLayout w:type="fixed"/>
          <w:tblCellMar>
            <w:top w:w="0" w:type="dxa"/>
            <w:left w:w="0" w:type="dxa"/>
            <w:bottom w:w="0" w:type="dxa"/>
            <w:right w:w="0" w:type="dxa"/>
          </w:tblCellMar>
        </w:tblPrEx>
        <w:trPr>
          <w:trHeight w:val="690" w:hRule="atLeast"/>
        </w:trPr>
        <w:tc>
          <w:tcPr>
            <w:tcW w:w="9403"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（六）</w:t>
            </w:r>
            <w:r>
              <w:rPr>
                <w:rFonts w:hint="eastAsia" w:ascii="仿宋_GB2312" w:hAnsi="黑体" w:eastAsia="仿宋_GB2312" w:cs="仿宋_GB2312"/>
                <w:b/>
                <w:bCs/>
                <w:i w:val="0"/>
                <w:color w:val="auto"/>
                <w:kern w:val="2"/>
                <w:sz w:val="32"/>
                <w:szCs w:val="32"/>
                <w:u w:val="none"/>
                <w:lang w:val="en-US" w:eastAsia="zh-CN" w:bidi="ar-SA"/>
              </w:rPr>
              <w:t>政府性基金预算“三公”经费支出表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50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66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4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446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2021年预算数</w:t>
            </w:r>
          </w:p>
        </w:tc>
        <w:tc>
          <w:tcPr>
            <w:tcW w:w="493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w:t>
            </w:r>
          </w:p>
        </w:tc>
        <w:tc>
          <w:tcPr>
            <w:tcW w:w="25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因公出国（境）费</w:t>
            </w:r>
          </w:p>
        </w:tc>
        <w:tc>
          <w:tcPr>
            <w:tcW w:w="24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0" w:hRule="atLeast"/>
        </w:trPr>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公务用车运行费</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bl>
    <w:p>
      <w:pPr>
        <w:rPr>
          <w:rFonts w:ascii="黑体" w:hAnsi="黑体" w:eastAsia="黑体"/>
          <w:sz w:val="32"/>
          <w:szCs w:val="32"/>
        </w:rPr>
      </w:pPr>
    </w:p>
    <w:tbl>
      <w:tblPr>
        <w:tblStyle w:val="4"/>
        <w:tblW w:w="86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48"/>
        <w:gridCol w:w="1305"/>
        <w:gridCol w:w="3030"/>
        <w:gridCol w:w="1470"/>
      </w:tblGrid>
      <w:tr>
        <w:tblPrEx>
          <w:tblLayout w:type="fixed"/>
          <w:tblCellMar>
            <w:top w:w="0" w:type="dxa"/>
            <w:left w:w="0" w:type="dxa"/>
            <w:bottom w:w="0" w:type="dxa"/>
            <w:right w:w="0" w:type="dxa"/>
          </w:tblCellMar>
        </w:tblPrEx>
        <w:trPr>
          <w:trHeight w:val="810" w:hRule="atLeast"/>
        </w:trPr>
        <w:tc>
          <w:tcPr>
            <w:tcW w:w="7183"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（七）</w:t>
            </w:r>
            <w:r>
              <w:rPr>
                <w:rFonts w:hint="eastAsia" w:ascii="仿宋_GB2312" w:hAnsi="黑体" w:eastAsia="仿宋_GB2312" w:cs="仿宋_GB2312"/>
                <w:b/>
                <w:bCs/>
                <w:i w:val="0"/>
                <w:color w:val="auto"/>
                <w:kern w:val="2"/>
                <w:sz w:val="32"/>
                <w:szCs w:val="32"/>
                <w:u w:val="none"/>
                <w:lang w:val="en-US" w:eastAsia="zh-CN" w:bidi="ar-SA"/>
              </w:rPr>
              <w:t>部门（单位）收支总表</w:t>
            </w:r>
          </w:p>
        </w:tc>
        <w:tc>
          <w:tcPr>
            <w:tcW w:w="14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284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3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30" w:type="dxa"/>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41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346.26</w:t>
            </w: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二、财政专户管理资金收入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六、事业单位经营收入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十五.住房保障支出</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346.26</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十.用事业基金弥补收支差额</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二十七.结转下年</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十一.上年结转</w:t>
            </w:r>
          </w:p>
        </w:tc>
        <w:tc>
          <w:tcPr>
            <w:tcW w:w="1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3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346.26</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346.26</w:t>
            </w:r>
          </w:p>
        </w:tc>
      </w:tr>
    </w:tbl>
    <w:p>
      <w:pPr>
        <w:rPr>
          <w:rFonts w:ascii="黑体" w:hAnsi="黑体" w:eastAsia="黑体"/>
          <w:sz w:val="32"/>
          <w:szCs w:val="32"/>
        </w:rPr>
      </w:pPr>
    </w:p>
    <w:tbl>
      <w:tblPr>
        <w:tblStyle w:val="4"/>
        <w:tblW w:w="8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2"/>
        <w:gridCol w:w="707"/>
        <w:gridCol w:w="728"/>
        <w:gridCol w:w="868"/>
        <w:gridCol w:w="664"/>
        <w:gridCol w:w="686"/>
        <w:gridCol w:w="654"/>
        <w:gridCol w:w="610"/>
        <w:gridCol w:w="633"/>
        <w:gridCol w:w="600"/>
        <w:gridCol w:w="1028"/>
      </w:tblGrid>
      <w:tr>
        <w:tblPrEx>
          <w:tblLayout w:type="fixed"/>
          <w:tblCellMar>
            <w:top w:w="0" w:type="dxa"/>
            <w:left w:w="0" w:type="dxa"/>
            <w:bottom w:w="0" w:type="dxa"/>
            <w:right w:w="0" w:type="dxa"/>
          </w:tblCellMar>
        </w:tblPrEx>
        <w:trPr>
          <w:trHeight w:val="705" w:hRule="atLeast"/>
        </w:trPr>
        <w:tc>
          <w:tcPr>
            <w:tcW w:w="811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（八）</w:t>
            </w:r>
            <w:r>
              <w:rPr>
                <w:rFonts w:hint="eastAsia" w:ascii="仿宋_GB2312" w:hAnsi="黑体" w:eastAsia="仿宋_GB2312" w:cs="仿宋_GB2312"/>
                <w:b/>
                <w:bCs/>
                <w:i w:val="0"/>
                <w:color w:val="auto"/>
                <w:kern w:val="2"/>
                <w:sz w:val="32"/>
                <w:szCs w:val="32"/>
                <w:u w:val="none"/>
                <w:lang w:val="en-US" w:eastAsia="zh-CN" w:bidi="ar-SA"/>
              </w:rPr>
              <w:t>部门（单位）收入总表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93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0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6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8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预算部门（单位）</w:t>
            </w:r>
          </w:p>
        </w:tc>
        <w:tc>
          <w:tcPr>
            <w:tcW w:w="7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上年结转</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一般公共预算拨款收入</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政府性基金预算拨款收入</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财政专户管理资金收入</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事业单位经营收入</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海口市药品不良反应监测中心</w:t>
            </w:r>
          </w:p>
        </w:tc>
        <w:tc>
          <w:tcPr>
            <w:tcW w:w="7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346.26</w:t>
            </w:r>
          </w:p>
        </w:tc>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346.26</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r>
    </w:tbl>
    <w:p>
      <w:pPr>
        <w:rPr>
          <w:rFonts w:ascii="黑体" w:hAnsi="黑体" w:eastAsia="黑体"/>
          <w:sz w:val="32"/>
          <w:szCs w:val="32"/>
        </w:rPr>
      </w:pPr>
    </w:p>
    <w:tbl>
      <w:tblPr>
        <w:tblStyle w:val="4"/>
        <w:tblW w:w="89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2"/>
        <w:gridCol w:w="546"/>
        <w:gridCol w:w="546"/>
        <w:gridCol w:w="3299"/>
        <w:gridCol w:w="1140"/>
        <w:gridCol w:w="930"/>
        <w:gridCol w:w="93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893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（九）</w:t>
            </w:r>
            <w:r>
              <w:rPr>
                <w:rFonts w:hint="eastAsia" w:ascii="仿宋_GB2312" w:hAnsi="黑体" w:eastAsia="仿宋_GB2312" w:cs="仿宋_GB2312"/>
                <w:b/>
                <w:bCs/>
                <w:i w:val="0"/>
                <w:color w:val="auto"/>
                <w:kern w:val="2"/>
                <w:sz w:val="32"/>
                <w:szCs w:val="32"/>
                <w:u w:val="none"/>
                <w:lang w:val="en-US" w:eastAsia="zh-CN" w:bidi="ar-SA"/>
              </w:rPr>
              <w:t>部门（单位）支出总表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48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54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4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48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406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15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2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48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54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54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3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93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0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346.26</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285.4</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30.86</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6"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286.72</w:t>
            </w:r>
          </w:p>
        </w:tc>
        <w:tc>
          <w:tcPr>
            <w:tcW w:w="9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283.13</w:t>
            </w:r>
          </w:p>
        </w:tc>
        <w:tc>
          <w:tcPr>
            <w:tcW w:w="93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0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基本工资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津贴补贴</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奖金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绩效工资</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机关事业单位基本养老保险缴费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职工基本医疗保险缴费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公务员医疗补助缴费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其他社会保障缴费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住房公积金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医疗费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20.38</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办公费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印刷费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水费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电费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邮电费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物业管理费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维修（护）费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租赁费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培训费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专用材料费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工会经费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其他商品和服务支出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生活补助</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奖励金</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310</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办公设备购置</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tbl>
      <w:tblPr>
        <w:tblStyle w:val="4"/>
        <w:tblpPr w:leftFromText="180" w:rightFromText="180" w:vertAnchor="text" w:horzAnchor="page" w:tblpX="369" w:tblpY="-11410"/>
        <w:tblOverlap w:val="never"/>
        <w:tblW w:w="109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40"/>
        <w:gridCol w:w="615"/>
        <w:gridCol w:w="540"/>
        <w:gridCol w:w="675"/>
        <w:gridCol w:w="630"/>
        <w:gridCol w:w="2345"/>
        <w:gridCol w:w="480"/>
        <w:gridCol w:w="555"/>
        <w:gridCol w:w="1395"/>
        <w:gridCol w:w="480"/>
        <w:gridCol w:w="495"/>
        <w:gridCol w:w="510"/>
        <w:gridCol w:w="405"/>
        <w:gridCol w:w="1005"/>
      </w:tblGrid>
      <w:tr>
        <w:tblPrEx>
          <w:tblLayout w:type="fixed"/>
          <w:tblCellMar>
            <w:top w:w="0" w:type="dxa"/>
            <w:left w:w="0" w:type="dxa"/>
            <w:bottom w:w="0" w:type="dxa"/>
            <w:right w:w="0" w:type="dxa"/>
          </w:tblCellMar>
        </w:tblPrEx>
        <w:trPr>
          <w:trHeight w:val="540" w:hRule="atLeast"/>
        </w:trPr>
        <w:tc>
          <w:tcPr>
            <w:tcW w:w="10970" w:type="dxa"/>
            <w:gridSpan w:val="1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黑体" w:eastAsia="仿宋_GB2312" w:cs="仿宋_GB2312"/>
                <w:b/>
                <w:bCs/>
                <w:i w:val="0"/>
                <w:kern w:val="2"/>
                <w:sz w:val="32"/>
                <w:szCs w:val="32"/>
                <w:u w:val="none"/>
                <w:lang w:val="en-US" w:eastAsia="zh-CN" w:bidi="ar-SA"/>
              </w:rPr>
            </w:pPr>
          </w:p>
          <w:p>
            <w:pPr>
              <w:keepNext w:val="0"/>
              <w:keepLines w:val="0"/>
              <w:widowControl/>
              <w:suppressLineNumbers w:val="0"/>
              <w:jc w:val="left"/>
              <w:textAlignment w:val="center"/>
              <w:rPr>
                <w:rFonts w:hint="eastAsia" w:ascii="仿宋_GB2312" w:hAnsi="黑体" w:eastAsia="仿宋_GB2312" w:cs="仿宋_GB2312"/>
                <w:b/>
                <w:bCs/>
                <w:i w:val="0"/>
                <w:kern w:val="2"/>
                <w:sz w:val="32"/>
                <w:szCs w:val="32"/>
                <w:u w:val="none"/>
                <w:lang w:val="en-US" w:eastAsia="zh-CN" w:bidi="ar-SA"/>
              </w:rPr>
            </w:pPr>
          </w:p>
          <w:p>
            <w:pPr>
              <w:keepNext w:val="0"/>
              <w:keepLines w:val="0"/>
              <w:widowControl/>
              <w:suppressLineNumbers w:val="0"/>
              <w:jc w:val="left"/>
              <w:textAlignment w:val="center"/>
              <w:rPr>
                <w:rFonts w:hint="eastAsia" w:ascii="仿宋_GB2312" w:hAnsi="黑体" w:eastAsia="仿宋_GB2312" w:cs="仿宋_GB2312"/>
                <w:b/>
                <w:bCs/>
                <w:i w:val="0"/>
                <w:kern w:val="2"/>
                <w:sz w:val="32"/>
                <w:szCs w:val="32"/>
                <w:u w:val="none"/>
                <w:lang w:val="en-US" w:eastAsia="zh-CN" w:bidi="ar-SA"/>
              </w:rPr>
            </w:pPr>
          </w:p>
          <w:p>
            <w:pPr>
              <w:keepNext w:val="0"/>
              <w:keepLines w:val="0"/>
              <w:widowControl/>
              <w:suppressLineNumbers w:val="0"/>
              <w:jc w:val="left"/>
              <w:textAlignment w:val="center"/>
              <w:rPr>
                <w:rFonts w:hint="eastAsia" w:ascii="宋体" w:hAnsi="宋体" w:eastAsia="宋体" w:cs="宋体"/>
                <w:b/>
                <w:i w:val="0"/>
                <w:color w:val="000000"/>
                <w:sz w:val="44"/>
                <w:szCs w:val="44"/>
                <w:u w:val="none"/>
              </w:rPr>
            </w:pPr>
            <w:r>
              <w:rPr>
                <w:rFonts w:hint="eastAsia" w:ascii="仿宋_GB2312" w:hAnsi="黑体" w:eastAsia="仿宋_GB2312" w:cs="仿宋_GB2312"/>
                <w:b/>
                <w:bCs/>
                <w:i w:val="0"/>
                <w:kern w:val="2"/>
                <w:sz w:val="32"/>
                <w:szCs w:val="32"/>
                <w:u w:val="none"/>
                <w:lang w:val="en-US" w:eastAsia="zh-CN" w:bidi="ar-SA"/>
              </w:rPr>
              <w:t>（十）项目支出绩效信息表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45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b/>
                <w:i w:val="0"/>
                <w:color w:val="FF0000"/>
                <w:sz w:val="24"/>
                <w:szCs w:val="24"/>
                <w:u w:val="none"/>
              </w:rPr>
            </w:pPr>
          </w:p>
        </w:tc>
        <w:tc>
          <w:tcPr>
            <w:tcW w:w="63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b/>
                <w:i w:val="0"/>
                <w:color w:val="FF0000"/>
                <w:sz w:val="24"/>
                <w:szCs w:val="24"/>
                <w:u w:val="none"/>
              </w:rPr>
            </w:pPr>
          </w:p>
        </w:tc>
        <w:tc>
          <w:tcPr>
            <w:tcW w:w="234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b/>
                <w:i w:val="0"/>
                <w:color w:val="FF0000"/>
                <w:sz w:val="24"/>
                <w:szCs w:val="24"/>
                <w:u w:val="none"/>
              </w:rPr>
            </w:pPr>
          </w:p>
        </w:tc>
        <w:tc>
          <w:tcPr>
            <w:tcW w:w="48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b/>
                <w:i w:val="0"/>
                <w:color w:val="FF0000"/>
                <w:sz w:val="24"/>
                <w:szCs w:val="24"/>
                <w:u w:val="none"/>
              </w:rPr>
            </w:pPr>
          </w:p>
        </w:tc>
        <w:tc>
          <w:tcPr>
            <w:tcW w:w="55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FF0000"/>
                <w:sz w:val="24"/>
                <w:szCs w:val="24"/>
                <w:u w:val="none"/>
              </w:rPr>
            </w:pPr>
          </w:p>
        </w:tc>
        <w:tc>
          <w:tcPr>
            <w:tcW w:w="139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FF0000"/>
                <w:sz w:val="24"/>
                <w:szCs w:val="24"/>
                <w:u w:val="none"/>
              </w:rPr>
            </w:pPr>
          </w:p>
        </w:tc>
        <w:tc>
          <w:tcPr>
            <w:tcW w:w="4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b/>
                <w:i w:val="0"/>
                <w:color w:val="FF0000"/>
                <w:sz w:val="24"/>
                <w:szCs w:val="24"/>
                <w:u w:val="none"/>
              </w:rPr>
            </w:pPr>
          </w:p>
        </w:tc>
        <w:tc>
          <w:tcPr>
            <w:tcW w:w="49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41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部门（单位）名称</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预算执行率权重（%）</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项目资金总额</w:t>
            </w:r>
          </w:p>
        </w:tc>
        <w:tc>
          <w:tcPr>
            <w:tcW w:w="23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绩效目标</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绩效指标性质</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本年绩效指标值</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绩效度量单位</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本年权重</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海口市药品不良反应监测中心</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综合事务</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23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全面推动海口市“两品一械”不良反应/事件监测工作，提升监测水平，发挥监测技术支撑作用，确保2022年监测任务完成。</w:t>
            </w:r>
          </w:p>
        </w:tc>
        <w:tc>
          <w:tcPr>
            <w:tcW w:w="4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55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39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维持正常办公人员数</w:t>
            </w:r>
          </w:p>
        </w:tc>
        <w:tc>
          <w:tcPr>
            <w:tcW w:w="480"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9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10"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保障海口市药品不良反应监测中心工作正常运转</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优良中低差</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食品药品监管补助资金</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2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完成好2022年“两品一械”不良反应/事件监测相关工作，提高队伍能力、提高大众对“两品一械”不良反应监测的认知。</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药品不良反应报告数</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医疗器械不良反应报告数</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化妆品不良反应报告数</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w:t>
            </w:r>
            <w:r>
              <w:rPr>
                <w:rFonts w:hint="eastAsia" w:ascii="宋体" w:hAnsi="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r>
              <w:rPr>
                <w:rFonts w:hint="eastAsia" w:ascii="宋体" w:hAnsi="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正向指标</w:t>
            </w: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海口市药品不良反应监测中心</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_GB2312" w:hAnsi="黑体" w:eastAsia="仿宋_GB2312"/>
          <w:sz w:val="32"/>
          <w:szCs w:val="32"/>
        </w:rPr>
      </w:pPr>
      <w:r>
        <w:rPr>
          <w:rFonts w:hint="eastAsia" w:ascii="仿宋_GB2312" w:hAnsi="黑体" w:eastAsia="仿宋_GB2312"/>
          <w:sz w:val="32"/>
          <w:szCs w:val="32"/>
          <w:lang w:val="en-US" w:eastAsia="zh-CN"/>
        </w:rPr>
        <w:t>海口市药品不良反应监测中心2022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267.16</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30.88</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30.87万元、住房保障支出17.36万元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267.16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77.16</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30.88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8.92</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30.87万元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8.92</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；住房保障支出17.36万元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5.01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市场监督管理</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药品事务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，主要是食品药品补助资金增加</w:t>
      </w:r>
      <w:r>
        <w:rPr>
          <w:rFonts w:hint="eastAsia" w:ascii="仿宋_GB2312" w:hAnsi="黑体" w:eastAsia="仿宋_GB2312"/>
          <w:sz w:val="32"/>
          <w:szCs w:val="32"/>
          <w:lang w:val="en-US" w:eastAsia="zh-CN"/>
        </w:rPr>
        <w:t>5万元用于开展“两品一械”监测工作。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市场监督管理</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252.16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17.61</w:t>
      </w:r>
      <w:r>
        <w:rPr>
          <w:rFonts w:hint="eastAsia" w:ascii="仿宋_GB2312" w:hAnsi="黑体" w:eastAsia="仿宋_GB2312"/>
          <w:sz w:val="32"/>
          <w:szCs w:val="32"/>
        </w:rPr>
        <w:t>万元</w:t>
      </w:r>
      <w:r>
        <w:rPr>
          <w:rFonts w:hint="eastAsia" w:ascii="仿宋_GB2312" w:hAnsi="黑体" w:eastAsia="仿宋_GB2312"/>
          <w:sz w:val="32"/>
          <w:szCs w:val="32"/>
          <w:lang w:eastAsia="zh-CN"/>
        </w:rPr>
        <w:t>，主要减少被装购置费、差旅费等。</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316.26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285.40</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住房公积金、医疗费、邮电费、奖励金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30.86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w:t>
      </w:r>
      <w:r>
        <w:rPr>
          <w:rFonts w:hint="eastAsia" w:ascii="仿宋_GB2312" w:hAnsi="黑体" w:eastAsia="仿宋_GB2312"/>
          <w:sz w:val="32"/>
          <w:szCs w:val="32"/>
        </w:rPr>
        <w:t>社会保障缴费、办公费、</w:t>
      </w:r>
      <w:r>
        <w:rPr>
          <w:rFonts w:hint="eastAsia" w:ascii="仿宋_GB2312" w:hAnsi="黑体" w:eastAsia="仿宋_GB2312"/>
          <w:sz w:val="32"/>
          <w:szCs w:val="32"/>
          <w:lang w:eastAsia="zh-CN"/>
        </w:rPr>
        <w:t>印刷费、邮电</w:t>
      </w:r>
      <w:r>
        <w:rPr>
          <w:rFonts w:hint="eastAsia" w:ascii="仿宋_GB2312" w:hAnsi="黑体" w:eastAsia="仿宋_GB2312"/>
          <w:sz w:val="32"/>
          <w:szCs w:val="32"/>
        </w:rPr>
        <w:t>费、水费、电费、</w:t>
      </w:r>
      <w:r>
        <w:rPr>
          <w:rFonts w:hint="eastAsia" w:ascii="仿宋_GB2312" w:hAnsi="黑体" w:eastAsia="仿宋_GB2312"/>
          <w:sz w:val="32"/>
          <w:szCs w:val="32"/>
          <w:lang w:eastAsia="zh-CN"/>
        </w:rPr>
        <w:t>物业管理费、维修（护）费、租赁费、培训费、专业材料费、工会经费、其他商品和服务支出、生活补助、办公设备购置</w:t>
      </w:r>
      <w:r>
        <w:rPr>
          <w:rFonts w:hint="eastAsia" w:ascii="仿宋_GB2312" w:hAnsi="黑体" w:eastAsia="仿宋_GB2312"/>
          <w:sz w:val="32"/>
          <w:szCs w:val="32"/>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numPr>
          <w:ilvl w:val="-1"/>
          <w:numId w:val="0"/>
        </w:numPr>
        <w:ind w:firstLine="640" w:firstLineChars="200"/>
        <w:rPr>
          <w:rFonts w:hint="eastAsia" w:ascii="黑体" w:hAnsi="黑体" w:eastAsia="仿宋_GB2312" w:cs="Times New Roman"/>
          <w:sz w:val="32"/>
          <w:shd w:val="clear" w:color="auto" w:fill="FFFFFF"/>
          <w:lang w:val="en-US" w:eastAsia="zh-CN"/>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海口市药品不良反应监测中心（单位）</w:t>
      </w:r>
      <w:r>
        <w:rPr>
          <w:rFonts w:hint="eastAsia" w:ascii="仿宋_GB2312" w:hAnsi="黑体" w:eastAsia="仿宋_GB2312" w:cs="仿宋_GB2312"/>
          <w:sz w:val="32"/>
          <w:szCs w:val="32"/>
        </w:rPr>
        <w:t>所有收入和支出均纳入部门预算管理。收入</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rPr>
        <w:t>：一般公共预算收入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海口市药品不良反应监测中心</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海口市药品不良反应监测中心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346.26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316.26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91.34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8.66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黑体"/>
          <w:sz w:val="32"/>
          <w:szCs w:val="32"/>
        </w:rPr>
        <w:t>截至</w:t>
      </w:r>
      <w:r>
        <w:rPr>
          <w:rFonts w:hint="eastAsia" w:ascii="仿宋_GB2312" w:hAnsi="黑体" w:eastAsia="仿宋_GB2312" w:cs="黑体"/>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海口市药品不良反应监测中心</w:t>
      </w:r>
      <w:r>
        <w:rPr>
          <w:rFonts w:hint="eastAsia" w:ascii="仿宋_GB2312" w:hAnsi="黑体" w:eastAsia="仿宋_GB2312" w:cs="黑体"/>
          <w:sz w:val="32"/>
          <w:szCs w:val="32"/>
        </w:rPr>
        <w:t>共有车辆</w:t>
      </w:r>
      <w:r>
        <w:rPr>
          <w:rFonts w:hint="eastAsia" w:ascii="仿宋_GB2312" w:hAnsi="黑体" w:eastAsia="仿宋_GB2312" w:cs="黑体"/>
          <w:sz w:val="32"/>
          <w:szCs w:val="32"/>
          <w:lang w:val="en-US" w:eastAsia="zh-CN"/>
        </w:rPr>
        <w:t>0</w:t>
      </w:r>
      <w:r>
        <w:rPr>
          <w:rFonts w:hint="eastAsia" w:ascii="仿宋_GB2312" w:hAnsi="黑体" w:eastAsia="仿宋_GB2312" w:cs="黑体"/>
          <w:sz w:val="32"/>
          <w:szCs w:val="32"/>
        </w:rPr>
        <w:t>辆</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海口市药品不良反应监测中心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eastAsia="zh-CN"/>
        </w:rPr>
        <w:t>两</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046" w:bottom="1440" w:left="12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6DF168"/>
    <w:multiLevelType w:val="singleLevel"/>
    <w:tmpl w:val="136DF168"/>
    <w:lvl w:ilvl="0" w:tentative="0">
      <w:start w:val="2"/>
      <w:numFmt w:val="chineseCounting"/>
      <w:suff w:val="space"/>
      <w:lvlText w:val="第%1部分"/>
      <w:lvlJc w:val="left"/>
      <w:rPr>
        <w:rFonts w:hint="eastAsia"/>
      </w:rPr>
    </w:lvl>
  </w:abstractNum>
  <w:abstractNum w:abstractNumId="2">
    <w:nsid w:val="207D8C20"/>
    <w:multiLevelType w:val="singleLevel"/>
    <w:tmpl w:val="207D8C20"/>
    <w:lvl w:ilvl="0" w:tentative="0">
      <w:start w:val="4"/>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B6210"/>
    <w:rsid w:val="04EE7553"/>
    <w:rsid w:val="07B60CA2"/>
    <w:rsid w:val="14F15C1A"/>
    <w:rsid w:val="1A6633A0"/>
    <w:rsid w:val="1BF81C58"/>
    <w:rsid w:val="1F64349A"/>
    <w:rsid w:val="21BC7219"/>
    <w:rsid w:val="227B5CB9"/>
    <w:rsid w:val="284139EB"/>
    <w:rsid w:val="29217325"/>
    <w:rsid w:val="36025381"/>
    <w:rsid w:val="3B9845C2"/>
    <w:rsid w:val="45B01083"/>
    <w:rsid w:val="47FF2615"/>
    <w:rsid w:val="5065265B"/>
    <w:rsid w:val="514F4FA1"/>
    <w:rsid w:val="547F64D7"/>
    <w:rsid w:val="5D83399A"/>
    <w:rsid w:val="5DB71FCB"/>
    <w:rsid w:val="72C94D6A"/>
    <w:rsid w:val="7DEBCAFF"/>
    <w:rsid w:val="7FBB41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ADR</cp:lastModifiedBy>
  <cp:lastPrinted>2022-03-01T07:38:00Z</cp:lastPrinted>
  <dcterms:modified xsi:type="dcterms:W3CDTF">2022-03-02T03:37:36Z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