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海口市市场监督管理局</w:t>
      </w:r>
    </w:p>
    <w:p>
      <w:pPr>
        <w:jc w:val="center"/>
        <w:rPr>
          <w:sz w:val="84"/>
          <w:szCs w:val="84"/>
        </w:rPr>
      </w:pPr>
      <w:r>
        <w:rPr>
          <w:rFonts w:hint="eastAsia"/>
          <w:sz w:val="52"/>
          <w:szCs w:val="52"/>
        </w:rPr>
        <w:t>单位预算</w:t>
      </w: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lang w:eastAsia="zh-CN"/>
        </w:rPr>
        <w:t>年</w:t>
      </w:r>
      <w:r>
        <w:rPr>
          <w:rFonts w:hint="eastAsia" w:ascii="黑体" w:hAnsi="黑体" w:eastAsia="黑体"/>
          <w:sz w:val="32"/>
          <w:szCs w:val="32"/>
        </w:rPr>
        <w:t>（单位）预算情况说明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（单位）概况</w:t>
      </w:r>
    </w:p>
    <w:p>
      <w:pPr>
        <w:pStyle w:val="4"/>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hAnsi="黑体" w:eastAsia="仿宋_GB2312" w:cs="仿宋_GB2312"/>
          <w:sz w:val="32"/>
          <w:szCs w:val="32"/>
        </w:rPr>
      </w:pPr>
      <w:r>
        <w:rPr>
          <w:rFonts w:hint="eastAsia" w:ascii="仿宋_GB2312" w:hAnsi="黑体" w:eastAsia="仿宋_GB2312" w:cs="仿宋_GB2312"/>
          <w:sz w:val="32"/>
          <w:szCs w:val="32"/>
        </w:rPr>
        <w:t>　　（二）负责组织实施质量强市战略、食品安全战略和标准化战略。</w:t>
      </w:r>
    </w:p>
    <w:p>
      <w:pPr>
        <w:rPr>
          <w:rFonts w:ascii="仿宋_GB2312" w:hAnsi="黑体" w:eastAsia="仿宋_GB2312" w:cs="仿宋_GB2312"/>
          <w:sz w:val="32"/>
          <w:szCs w:val="32"/>
        </w:rPr>
      </w:pPr>
      <w:r>
        <w:rPr>
          <w:rFonts w:hint="eastAsia" w:ascii="仿宋_GB2312" w:hAnsi="黑体"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hAnsi="黑体" w:eastAsia="仿宋_GB2312" w:cs="仿宋_GB2312"/>
          <w:sz w:val="32"/>
          <w:szCs w:val="32"/>
        </w:rPr>
      </w:pPr>
      <w:r>
        <w:rPr>
          <w:rFonts w:hint="eastAsia" w:ascii="仿宋_GB2312" w:hAnsi="黑体"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hAnsi="黑体" w:eastAsia="仿宋_GB2312" w:cs="仿宋_GB2312"/>
          <w:sz w:val="32"/>
          <w:szCs w:val="32"/>
        </w:rPr>
      </w:pPr>
      <w:r>
        <w:rPr>
          <w:rFonts w:hint="eastAsia" w:ascii="仿宋_GB2312" w:hAnsi="黑体"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hAnsi="黑体" w:eastAsia="仿宋_GB2312" w:cs="仿宋_GB2312"/>
          <w:sz w:val="32"/>
          <w:szCs w:val="32"/>
        </w:rPr>
      </w:pPr>
      <w:r>
        <w:rPr>
          <w:rFonts w:hint="eastAsia" w:ascii="仿宋_GB2312" w:hAnsi="黑体"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hAnsi="黑体" w:eastAsia="仿宋_GB2312" w:cs="仿宋_GB2312"/>
          <w:sz w:val="32"/>
          <w:szCs w:val="32"/>
        </w:rPr>
      </w:pPr>
      <w:r>
        <w:rPr>
          <w:rFonts w:hint="eastAsia" w:ascii="仿宋_GB2312" w:hAnsi="黑体"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hAnsi="黑体" w:eastAsia="仿宋_GB2312" w:cs="仿宋_GB2312"/>
          <w:sz w:val="32"/>
          <w:szCs w:val="32"/>
        </w:rPr>
      </w:pPr>
      <w:r>
        <w:rPr>
          <w:rFonts w:hint="eastAsia" w:ascii="仿宋_GB2312" w:hAnsi="黑体"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hAnsi="黑体" w:eastAsia="仿宋_GB2312" w:cs="仿宋_GB2312"/>
          <w:sz w:val="32"/>
          <w:szCs w:val="32"/>
        </w:rPr>
      </w:pPr>
      <w:r>
        <w:rPr>
          <w:rFonts w:hint="eastAsia" w:ascii="仿宋_GB2312" w:hAnsi="黑体"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hAnsi="黑体" w:eastAsia="仿宋_GB2312" w:cs="仿宋_GB2312"/>
          <w:sz w:val="32"/>
          <w:szCs w:val="32"/>
        </w:rPr>
      </w:pPr>
      <w:r>
        <w:rPr>
          <w:rFonts w:hint="eastAsia" w:ascii="仿宋_GB2312" w:hAnsi="黑体"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hAnsi="黑体" w:eastAsia="仿宋_GB2312" w:cs="仿宋_GB2312"/>
          <w:sz w:val="32"/>
          <w:szCs w:val="32"/>
        </w:rPr>
      </w:pPr>
      <w:r>
        <w:rPr>
          <w:rFonts w:hint="eastAsia" w:ascii="仿宋_GB2312" w:hAnsi="黑体" w:eastAsia="仿宋_GB2312" w:cs="仿宋_GB2312"/>
          <w:sz w:val="32"/>
          <w:szCs w:val="32"/>
        </w:rPr>
        <w:t>　　（十三）负责本市市场监督管理科技和信息化建设、新闻宣传、对外交流与合作等工作，按规定承担技术性贸易措施有关工 作。</w:t>
      </w:r>
    </w:p>
    <w:p>
      <w:pPr>
        <w:rPr>
          <w:rFonts w:ascii="仿宋_GB2312" w:hAnsi="黑体" w:eastAsia="仿宋_GB2312" w:cs="仿宋_GB2312"/>
          <w:sz w:val="32"/>
          <w:szCs w:val="32"/>
        </w:rPr>
      </w:pPr>
      <w:r>
        <w:rPr>
          <w:rFonts w:hint="eastAsia" w:ascii="仿宋_GB2312" w:hAnsi="黑体"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（十六）负责本市食盐经营质量安全监督管理工作。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hAnsi="黑体" w:eastAsia="仿宋_GB2312" w:cs="仿宋_GB2312"/>
          <w:sz w:val="32"/>
          <w:szCs w:val="32"/>
        </w:rPr>
      </w:pPr>
      <w:r>
        <w:rPr>
          <w:rFonts w:hint="eastAsia" w:ascii="仿宋_GB2312" w:hAnsi="黑体"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hAnsi="黑体" w:eastAsia="仿宋_GB2312" w:cs="仿宋_GB2312"/>
          <w:sz w:val="32"/>
          <w:szCs w:val="32"/>
        </w:rPr>
      </w:pPr>
      <w:r>
        <w:rPr>
          <w:rFonts w:hint="eastAsia" w:ascii="仿宋_GB2312" w:hAnsi="黑体"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4"/>
        <w:numPr>
          <w:ilvl w:val="-1"/>
          <w:numId w:val="0"/>
        </w:numPr>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（二十一）完成市委、市政府和上级部门交办的其他任务。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25,046.12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25,046.12</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rPr>
        <w:t>25,046.12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25,046.12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20,340.23</w:t>
      </w:r>
      <w:r>
        <w:rPr>
          <w:rFonts w:hint="eastAsia" w:ascii="仿宋_GB2312" w:hAnsi="黑体" w:eastAsia="仿宋_GB2312"/>
          <w:sz w:val="32"/>
          <w:szCs w:val="32"/>
        </w:rPr>
        <w:t>万元、社会保障和就业支出2,229.75万元、卫生健康支出1,424.48万元、住房保障支出1,051.65</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25,046.12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366.35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一般公共服务（类）支出20340.23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81.21</w:t>
      </w:r>
      <w:r>
        <w:rPr>
          <w:rFonts w:hint="eastAsia" w:ascii="仿宋_GB2312" w:hAnsi="黑体" w:eastAsia="仿宋_GB2312"/>
          <w:sz w:val="32"/>
          <w:szCs w:val="32"/>
        </w:rPr>
        <w:t>%；社会保障和就业支出2229.75万元，占</w:t>
      </w:r>
      <w:r>
        <w:rPr>
          <w:rFonts w:hint="eastAsia" w:ascii="仿宋_GB2312" w:hAnsi="黑体" w:eastAsia="仿宋_GB2312" w:cs="仿宋_GB2312"/>
          <w:sz w:val="32"/>
          <w:szCs w:val="32"/>
          <w:lang w:val="en-US" w:eastAsia="zh-CN"/>
        </w:rPr>
        <w:t>8.9</w:t>
      </w:r>
      <w:r>
        <w:rPr>
          <w:rFonts w:hint="eastAsia" w:ascii="仿宋_GB2312" w:hAnsi="黑体" w:eastAsia="仿宋_GB2312"/>
          <w:sz w:val="32"/>
          <w:szCs w:val="32"/>
        </w:rPr>
        <w:t>%；卫生健康支出1424.48万元，占</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1051.65万元，占</w:t>
      </w:r>
      <w:r>
        <w:rPr>
          <w:rFonts w:hint="eastAsia" w:ascii="仿宋_GB2312" w:hAnsi="黑体" w:eastAsia="仿宋_GB2312" w:cs="仿宋_GB2312"/>
          <w:sz w:val="32"/>
          <w:szCs w:val="32"/>
          <w:lang w:val="en-US" w:eastAsia="zh-CN"/>
        </w:rPr>
        <w:t>4.2</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1.一般公共服务（类）知识产权事务（款）其他知识产权事务支出（项）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140万元，主要是知识产权保护项目资金的减少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一般公共服务（类）市场监督管理事务（款）行政运行（项）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10,696.45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394.15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一般公共服务（类）市场监督管理事务（款）一般行政管理事务（项）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2,308.35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 xml:space="preserve"> 一般公共服务（类）市场监督管理事务（款）市场主体管理（项）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4,293.79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165.21</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是知识产权保护项目资金的减少。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一般公共服务（类）市场监督管理事务（款）信息化建设（项）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218.65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7.92万元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主要是减少了信息化建设经费安排</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275.77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229.94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s="仿宋_GB2312"/>
          <w:sz w:val="32"/>
          <w:szCs w:val="32"/>
          <w:lang w:val="en-US" w:eastAsia="zh-CN"/>
        </w:rPr>
        <w:t>疫情防控药品经费增加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食品安全监管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702.22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177.94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是创建食品安全示范城市项目经费减少。</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社会保障和就业支出（类）行政事业单位养老支出（款）行政单位离退休（项）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年预算数为40.91万元，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年预算数为1,147.57万元，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123.57万元，主要是养老基数调整</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年预算数为573.78万元，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573.78万元，主要是2023年职业年金纳入预算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年预算数为412.10万元，比上年预算数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42.1万元，主要是退休人员公务员医疗补助基数调整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年预算数为55.39万元，比上年预算数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24.11万元，主要是遗嘱人员生活补助的增加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卫生健康支出（类）行政事业单位医疗（款）行政单位医疗（项）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年预算数为548.11万元，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卫生健康支出（类）行政事业单位医疗（款）公务员医疗补助（项）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年预算数为876.37元，比上年预算数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169.29万元，主要是公务员医疗补助基数调整</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年预算数为1,051.65万元，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203.16万元，主要是住房公积金基数调整</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海口市市场监督管理局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15,402.34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13,965.41</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1,436.93</w:t>
      </w:r>
      <w:r>
        <w:rPr>
          <w:rFonts w:hint="eastAsia" w:ascii="仿宋_GB2312" w:hAnsi="黑体" w:eastAsia="仿宋_GB2312"/>
          <w:sz w:val="32"/>
          <w:szCs w:val="32"/>
        </w:rPr>
        <w:t>万元，主要包括：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hAnsi="黑体" w:eastAsia="仿宋_GB2312"/>
          <w:sz w:val="32"/>
          <w:szCs w:val="32"/>
          <w:lang w:eastAsia="zh-CN"/>
        </w:rPr>
        <w:t>救济费、其他对个人和家庭的补助、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海口市市场监督管理局</w:t>
      </w:r>
      <w:r>
        <w:rPr>
          <w:rFonts w:hint="eastAsia" w:ascii="黑体" w:hAnsi="黑体" w:eastAsia="黑体"/>
          <w:sz w:val="32"/>
          <w:szCs w:val="32"/>
          <w:lang w:eastAsia="zh-CN"/>
        </w:rPr>
        <w:t>（单位）</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118.95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与上年度持平</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根据实际工作安排，</w:t>
      </w:r>
      <w:r>
        <w:rPr>
          <w:rFonts w:hint="eastAsia" w:ascii="Times New Roman" w:hAnsi="Times New Roman" w:eastAsia="仿宋_GB2312" w:cs="Times New Roman"/>
          <w:sz w:val="32"/>
          <w:shd w:val="clear" w:color="auto" w:fill="FFFFFF"/>
          <w:lang w:eastAsia="zh-CN"/>
        </w:rPr>
        <w:t>未安排</w:t>
      </w:r>
      <w:r>
        <w:rPr>
          <w:rFonts w:hint="eastAsia" w:ascii="Times New Roman" w:hAnsi="Times New Roman" w:eastAsia="仿宋_GB2312" w:cs="Times New Roman"/>
          <w:sz w:val="32"/>
          <w:shd w:val="clear" w:color="auto" w:fill="FFFFFF"/>
        </w:rPr>
        <w:t>因公出国（境）经费。</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113.95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9.6</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上升</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w:t>
      </w:r>
      <w:r>
        <w:rPr>
          <w:rFonts w:hint="eastAsia" w:ascii="Times New Roman" w:hAnsi="Times New Roman" w:eastAsia="仿宋_GB2312" w:cs="Times New Roman"/>
          <w:sz w:val="32"/>
          <w:shd w:val="clear" w:color="auto" w:fill="FFFFFF"/>
          <w:lang w:eastAsia="zh-CN"/>
        </w:rPr>
        <w:t>因财政预算控制，公务用车运行费无法满足实际需要</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与上年度持平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165</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海口市市场监督管理局（单位）2023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政府性基金预算当年支出0万元</w:t>
      </w:r>
      <w:r>
        <w:rPr>
          <w:rFonts w:hint="eastAsia" w:ascii="仿宋_GB2312" w:hAnsi="黑体" w:eastAsia="仿宋_GB2312" w:cs="仿宋_GB2312"/>
          <w:sz w:val="32"/>
          <w:szCs w:val="32"/>
          <w:lang w:eastAsia="zh-CN"/>
        </w:rPr>
        <w:t>，与上年预算数持平，无此项预算。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海口市市场监督管理局（单位）2023年收支预</w:t>
      </w:r>
      <w:r>
        <w:rPr>
          <w:rFonts w:hint="eastAsia" w:ascii="黑体" w:hAnsi="黑体" w:eastAsia="黑体" w:cs="Times New Roman"/>
          <w:sz w:val="32"/>
          <w:shd w:val="clear" w:color="auto" w:fill="FFFFFF"/>
        </w:rPr>
        <w:t>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eastAsia="zh-CN"/>
        </w:rPr>
        <w:t>其他收入、上年结转</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25,377.21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海口市市场监督管理局（单位）2023年收</w:t>
      </w:r>
      <w:r>
        <w:rPr>
          <w:rFonts w:hint="eastAsia" w:ascii="黑体" w:hAnsi="黑体" w:eastAsia="黑体" w:cs="Times New Roman"/>
          <w:sz w:val="32"/>
          <w:shd w:val="clear" w:color="auto" w:fill="FFFFFF"/>
        </w:rPr>
        <w:t>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25,377.21</w:t>
      </w:r>
      <w:r>
        <w:rPr>
          <w:rFonts w:hint="eastAsia" w:ascii="仿宋_GB2312" w:hAnsi="黑体" w:eastAsia="仿宋_GB2312"/>
          <w:sz w:val="32"/>
          <w:szCs w:val="32"/>
        </w:rPr>
        <w:t>万元，其中：一般公共预算拨款收入25,046.12万元，占</w:t>
      </w:r>
      <w:r>
        <w:rPr>
          <w:rFonts w:hint="eastAsia" w:ascii="仿宋_GB2312" w:hAnsi="黑体" w:eastAsia="仿宋_GB2312" w:cs="仿宋_GB2312"/>
          <w:sz w:val="32"/>
          <w:szCs w:val="32"/>
          <w:lang w:val="en-US" w:eastAsia="zh-CN"/>
        </w:rPr>
        <w:t>98.70</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255.00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；上年结车76.09万元，占</w:t>
      </w:r>
      <w:r>
        <w:rPr>
          <w:rFonts w:hint="eastAsia" w:ascii="仿宋_GB2312" w:hAnsi="黑体" w:eastAsia="仿宋_GB2312"/>
          <w:sz w:val="32"/>
          <w:szCs w:val="32"/>
          <w:lang w:val="en-US" w:eastAsia="zh-CN"/>
        </w:rPr>
        <w:t>0.3%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247.44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海口市市场监督管理局（单位）2023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25,377.21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15402.34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60.69</w:t>
      </w:r>
      <w:r>
        <w:rPr>
          <w:rFonts w:hint="eastAsia" w:ascii="仿宋_GB2312" w:hAnsi="黑体" w:eastAsia="仿宋_GB2312"/>
          <w:sz w:val="32"/>
          <w:szCs w:val="32"/>
        </w:rPr>
        <w:t>%；项目支出</w:t>
      </w:r>
      <w:r>
        <w:rPr>
          <w:rFonts w:hint="eastAsia" w:ascii="仿宋_GB2312" w:hAnsi="黑体" w:eastAsia="仿宋_GB2312" w:cs="仿宋_GB2312"/>
          <w:sz w:val="32"/>
          <w:szCs w:val="32"/>
        </w:rPr>
        <w:t>9,974.87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39.31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697.44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基本支出人员经费的增加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1836.93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4313.7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4313.7</w:t>
      </w:r>
      <w:r>
        <w:rPr>
          <w:rFonts w:hint="eastAsia" w:ascii="仿宋_GB2312" w:hAnsi="黑体" w:eastAsia="仿宋_GB2312"/>
          <w:sz w:val="32"/>
          <w:szCs w:val="32"/>
        </w:rPr>
        <w:t>万元</w:t>
      </w:r>
      <w:bookmarkStart w:id="0" w:name="_GoBack"/>
      <w:bookmarkEnd w:id="0"/>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85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个项目实行绩效目标管理，涉及一般公共预算25,377.21</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025DF"/>
    <w:rsid w:val="04C05C93"/>
    <w:rsid w:val="0A0177D9"/>
    <w:rsid w:val="0CC178DB"/>
    <w:rsid w:val="10A60E66"/>
    <w:rsid w:val="115E7D38"/>
    <w:rsid w:val="153A21F5"/>
    <w:rsid w:val="2496414F"/>
    <w:rsid w:val="3A0C590C"/>
    <w:rsid w:val="40E5643E"/>
    <w:rsid w:val="41AB559E"/>
    <w:rsid w:val="4CAD762D"/>
    <w:rsid w:val="617427B2"/>
    <w:rsid w:val="75E025DF"/>
    <w:rsid w:val="776A0C03"/>
    <w:rsid w:val="7E01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2022-03-01T08:00:00Z</dcterms:created>
  <dc:creator>Administrator</dc:creator>
  <cp:lastModifiedBy>Administrator</cp:lastModifiedBy>
  <dcterms:modified xsi:type="dcterms:W3CDTF">2023-03-06T10:27:48Z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