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2024</w:t>
      </w:r>
      <w:r>
        <w:rPr>
          <w:rFonts w:hint="eastAsia"/>
          <w:sz w:val="52"/>
          <w:szCs w:val="52"/>
        </w:rPr>
        <w:t>年</w:t>
      </w:r>
      <w:r>
        <w:rPr>
          <w:rFonts w:hint="eastAsia"/>
          <w:sz w:val="52"/>
          <w:szCs w:val="52"/>
          <w:lang w:eastAsia="zh-CN"/>
        </w:rPr>
        <w:t>海口市药品不良反应</w:t>
      </w:r>
    </w:p>
    <w:p>
      <w:pPr>
        <w:jc w:val="center"/>
        <w:rPr>
          <w:rFonts w:hint="eastAsia" w:eastAsia="宋体"/>
          <w:sz w:val="52"/>
          <w:szCs w:val="52"/>
          <w:lang w:eastAsia="zh-CN"/>
        </w:rPr>
      </w:pPr>
      <w:r>
        <w:rPr>
          <w:rFonts w:hint="eastAsia"/>
          <w:sz w:val="52"/>
          <w:szCs w:val="52"/>
          <w:lang w:eastAsia="zh-CN"/>
        </w:rPr>
        <w:t>监测中心</w:t>
      </w:r>
      <w:r>
        <w:rPr>
          <w:rFonts w:hint="eastAsia"/>
          <w:sz w:val="52"/>
          <w:szCs w:val="52"/>
        </w:rPr>
        <w:t>预算</w:t>
      </w:r>
      <w:r>
        <w:rPr>
          <w:rFonts w:hint="eastAsia"/>
          <w:sz w:val="52"/>
          <w:szCs w:val="52"/>
          <w:lang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w:t>
      </w:r>
      <w:r>
        <w:rPr>
          <w:rFonts w:hint="eastAsia" w:ascii="黑体" w:hAnsi="黑体" w:eastAsia="黑体"/>
          <w:sz w:val="32"/>
          <w:szCs w:val="32"/>
          <w:lang w:eastAsia="zh-CN"/>
        </w:rPr>
        <w:t>内部设置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pacing w:val="-20"/>
          <w:sz w:val="32"/>
          <w:szCs w:val="32"/>
          <w:lang w:eastAsia="zh-CN"/>
        </w:rPr>
        <w:t>海口市药品不良反应监测中心</w:t>
      </w:r>
      <w:r>
        <w:rPr>
          <w:rFonts w:hint="eastAsia" w:ascii="黑体" w:hAnsi="黑体" w:eastAsia="黑体" w:cs="黑体"/>
          <w:spacing w:val="-20"/>
          <w:sz w:val="32"/>
          <w:szCs w:val="32"/>
          <w:lang w:val="en-US" w:eastAsia="zh-CN"/>
        </w:rPr>
        <w:t>2024</w:t>
      </w:r>
      <w:r>
        <w:rPr>
          <w:rFonts w:hint="eastAsia" w:ascii="黑体" w:hAnsi="黑体" w:eastAsia="黑体"/>
          <w:spacing w:val="-20"/>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（一）承担本辖区内</w:t>
      </w:r>
      <w:r>
        <w:rPr>
          <w:rFonts w:hint="eastAsia" w:ascii="仿宋_GB2312" w:hAnsi="黑体" w:eastAsia="仿宋_GB2312" w:cs="仿宋_GB2312"/>
          <w:sz w:val="32"/>
          <w:szCs w:val="32"/>
          <w:lang w:eastAsia="zh-CN"/>
        </w:rPr>
        <w:t>药品、医疗器械、化妆品（以下简称</w:t>
      </w:r>
      <w:r>
        <w:rPr>
          <w:rFonts w:hint="eastAsia" w:ascii="仿宋_GB2312" w:hAnsi="黑体" w:eastAsia="仿宋_GB2312" w:cs="仿宋_GB2312"/>
          <w:sz w:val="32"/>
          <w:szCs w:val="32"/>
        </w:rPr>
        <w:t>“两品一械”</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和药物滥用等监测的工作职能，负责对全市“两品一械”不良反应/事件和药物滥用监测资料和报告进行收集、核实、评价、反馈和上报等相关工作。</w:t>
      </w:r>
    </w:p>
    <w:p>
      <w:pPr>
        <w:pStyle w:val="6"/>
        <w:numPr>
          <w:ilvl w:val="-1"/>
          <w:numId w:val="0"/>
        </w:numPr>
        <w:spacing w:line="360" w:lineRule="auto"/>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（二）承担辖区内严重“两品一械”不良反应/事件的调查工作，协助有关部门开展群体“两品一械”不良反应/事件调查，并进行分析和评价。</w:t>
      </w:r>
    </w:p>
    <w:p>
      <w:pPr>
        <w:pStyle w:val="6"/>
        <w:numPr>
          <w:ilvl w:val="-1"/>
          <w:numId w:val="0"/>
        </w:numPr>
        <w:spacing w:line="360" w:lineRule="auto"/>
        <w:ind w:left="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（三）负责辖区内“两品一械” 不良反应/事件和药物滥用监测工作的宣传、教育和培训工作。</w:t>
      </w:r>
    </w:p>
    <w:p>
      <w:pPr>
        <w:pStyle w:val="6"/>
        <w:numPr>
          <w:ilvl w:val="-1"/>
          <w:numId w:val="0"/>
        </w:numPr>
        <w:spacing w:line="360" w:lineRule="auto"/>
        <w:ind w:left="0" w:leftChars="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（四）承担上级交办的其他事项。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楷体" w:hAnsi="楷体" w:eastAsia="楷体" w:cs="楷体"/>
          <w:color w:val="auto"/>
          <w:sz w:val="32"/>
          <w:szCs w:val="32"/>
        </w:rPr>
      </w:pPr>
      <w:r>
        <w:rPr>
          <w:rFonts w:hint="eastAsia" w:ascii="仿宋_GB2312" w:hAnsi="ˎ̥" w:eastAsia="仿宋_GB2312"/>
          <w:color w:val="auto"/>
          <w:sz w:val="32"/>
          <w:szCs w:val="32"/>
          <w:lang w:eastAsia="zh-CN"/>
        </w:rPr>
        <w:t>纳入</w:t>
      </w:r>
      <w:r>
        <w:rPr>
          <w:rFonts w:hint="eastAsia" w:ascii="仿宋_GB2312" w:hAnsi="ˎ̥" w:eastAsia="仿宋_GB2312"/>
          <w:color w:val="auto"/>
          <w:sz w:val="32"/>
          <w:szCs w:val="32"/>
        </w:rPr>
        <w:t>海口市市场监督管理局</w:t>
      </w:r>
      <w:r>
        <w:rPr>
          <w:rFonts w:hint="eastAsia" w:ascii="仿宋_GB2312" w:hAnsi="ˎ̥" w:eastAsia="仿宋_GB2312"/>
          <w:color w:val="auto"/>
          <w:sz w:val="32"/>
          <w:szCs w:val="32"/>
          <w:lang w:val="en-US" w:eastAsia="zh-CN"/>
        </w:rPr>
        <w:t>2024年部门</w:t>
      </w:r>
      <w:r>
        <w:rPr>
          <w:rFonts w:hint="eastAsia" w:ascii="仿宋_GB2312" w:hAnsi="ˎ̥" w:eastAsia="仿宋_GB2312"/>
          <w:color w:val="auto"/>
          <w:sz w:val="32"/>
          <w:szCs w:val="32"/>
        </w:rPr>
        <w:t>编制范围的二级预算单位。单位内部设有业务</w:t>
      </w:r>
      <w:r>
        <w:rPr>
          <w:rFonts w:hint="eastAsia" w:ascii="仿宋_GB2312" w:hAnsi="ˎ̥" w:eastAsia="仿宋_GB2312"/>
          <w:color w:val="auto"/>
          <w:sz w:val="32"/>
          <w:szCs w:val="32"/>
          <w:lang w:eastAsia="zh-CN"/>
        </w:rPr>
        <w:t>一</w:t>
      </w:r>
      <w:r>
        <w:rPr>
          <w:rFonts w:hint="eastAsia" w:ascii="仿宋_GB2312" w:hAnsi="ˎ̥" w:eastAsia="仿宋_GB2312"/>
          <w:color w:val="auto"/>
          <w:sz w:val="32"/>
          <w:szCs w:val="32"/>
        </w:rPr>
        <w:t>室、业务</w:t>
      </w:r>
      <w:r>
        <w:rPr>
          <w:rFonts w:hint="eastAsia" w:ascii="仿宋_GB2312" w:hAnsi="ˎ̥" w:eastAsia="仿宋_GB2312"/>
          <w:color w:val="auto"/>
          <w:sz w:val="32"/>
          <w:szCs w:val="32"/>
          <w:lang w:eastAsia="zh-CN"/>
        </w:rPr>
        <w:t>二</w:t>
      </w:r>
      <w:r>
        <w:rPr>
          <w:rFonts w:hint="eastAsia" w:ascii="仿宋_GB2312" w:hAnsi="ˎ̥" w:eastAsia="仿宋_GB2312"/>
          <w:color w:val="auto"/>
          <w:sz w:val="32"/>
          <w:szCs w:val="32"/>
        </w:rPr>
        <w:t>室、业务办。</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海口市药品不良反应监测中心2024年（单位）预算表</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仿宋_GB2312" w:hAnsi="黑体" w:eastAsia="仿宋_GB2312"/>
          <w:b/>
          <w:sz w:val="32"/>
          <w:szCs w:val="32"/>
        </w:rPr>
        <w:t>（此部分内容即为部门或单位预算公开表）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海口市药品不良反应监测中心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海口市药品不良反应监测中心2024</w:t>
      </w:r>
      <w:r>
        <w:rPr>
          <w:rFonts w:hint="eastAsia" w:ascii="仿宋_GB2312" w:hAnsi="黑体" w:eastAsia="仿宋_GB2312"/>
          <w:sz w:val="32"/>
          <w:szCs w:val="32"/>
        </w:rPr>
        <w:t>年财政拨款收支总预算835.84万元。其中，收入总计</w:t>
      </w:r>
      <w:r>
        <w:rPr>
          <w:rFonts w:hint="eastAsia" w:ascii="仿宋_GB2312" w:hAnsi="黑体" w:eastAsia="仿宋_GB2312" w:cs="仿宋_GB2312"/>
          <w:sz w:val="32"/>
          <w:szCs w:val="32"/>
        </w:rPr>
        <w:t>835.84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835.84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835.84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717.24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支出50.52万元</w:t>
      </w:r>
      <w:r>
        <w:rPr>
          <w:rFonts w:hint="eastAsia" w:ascii="仿宋_GB2312" w:hAnsi="黑体" w:eastAsia="仿宋_GB2312"/>
          <w:sz w:val="32"/>
          <w:szCs w:val="32"/>
          <w:lang w:eastAsia="zh-CN"/>
        </w:rPr>
        <w:t>、卫生健康支出40.26</w:t>
      </w:r>
      <w:r>
        <w:rPr>
          <w:rFonts w:hint="eastAsia" w:ascii="仿宋_GB2312" w:hAnsi="黑体" w:eastAsia="仿宋_GB2312"/>
          <w:sz w:val="32"/>
          <w:szCs w:val="32"/>
          <w:lang w:val="en-US" w:eastAsia="zh-CN"/>
        </w:rPr>
        <w:t>万元、住房保障支出27.83万元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年一般公共预算当年拨款835.84万元，比上年预算数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477.79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政府购买服务和在职人员的增加。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一般公共服务（类）支出717.24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85.81</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rPr>
        <w:t>50.52万元，占</w:t>
      </w:r>
      <w:r>
        <w:rPr>
          <w:rFonts w:hint="eastAsia" w:ascii="仿宋_GB2312" w:hAnsi="黑体" w:eastAsia="仿宋_GB2312" w:cs="仿宋_GB2312"/>
          <w:sz w:val="32"/>
          <w:szCs w:val="32"/>
          <w:lang w:val="en-US" w:eastAsia="zh-CN"/>
        </w:rPr>
        <w:t>6.04</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eastAsia="zh-CN"/>
        </w:rPr>
        <w:t>40.26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4.82</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27.83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1.一般公共服务（类）市场监督管理事务（款）药品事务（项）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增加政府购买服务。</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一般公共服务（类）市场监督管理事务（款）事业运行（项）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274.24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社会保障和就业支出（类）行政事业单位养老支出（款）机关事业单位基本养老保险缴费支出</w:t>
      </w:r>
      <w:r>
        <w:rPr>
          <w:rFonts w:hint="eastAsia" w:ascii="仿宋_GB2312" w:hAnsi="黑体" w:eastAsia="仿宋_GB2312"/>
          <w:sz w:val="32"/>
          <w:szCs w:val="32"/>
          <w:lang w:eastAsia="zh-CN"/>
        </w:rPr>
        <w:t>（项）</w:t>
      </w:r>
      <w:r>
        <w:rPr>
          <w:rFonts w:hint="eastAsia" w:ascii="仿宋_GB2312" w:hAnsi="黑体" w:eastAsia="仿宋_GB2312"/>
          <w:sz w:val="32"/>
          <w:szCs w:val="32"/>
          <w:lang w:val="en-US" w:eastAsia="zh-CN"/>
        </w:rPr>
        <w:t>2024年预算数为33.68万元，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社会保障和就业支出（类）行政事业单位养老支出（款）</w:t>
      </w:r>
      <w:r>
        <w:rPr>
          <w:rFonts w:hint="eastAsia" w:ascii="仿宋_GB2312" w:hAnsi="黑体" w:eastAsia="仿宋_GB2312"/>
          <w:sz w:val="32"/>
          <w:szCs w:val="32"/>
          <w:lang w:eastAsia="zh-CN"/>
        </w:rPr>
        <w:t>机关事业单位职业年金缴费支出（项）</w:t>
      </w:r>
      <w:r>
        <w:rPr>
          <w:rFonts w:hint="eastAsia" w:ascii="仿宋_GB2312" w:hAnsi="黑体" w:eastAsia="仿宋_GB2312"/>
          <w:sz w:val="32"/>
          <w:szCs w:val="32"/>
          <w:lang w:val="en-US" w:eastAsia="zh-CN"/>
        </w:rPr>
        <w:t>2024年预算数为16.84万元，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增加。</w:t>
      </w:r>
    </w:p>
    <w:p>
      <w:pPr>
        <w:ind w:firstLine="640" w:firstLineChars="200"/>
        <w:rPr>
          <w:rFonts w:hint="eastAsia" w:ascii="仿宋_GB2312" w:hAnsi="黑体" w:eastAsia="仿宋_GB2312"/>
          <w:b/>
          <w:bCs/>
          <w:color w:val="auto"/>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卫生健康支出（类）行政事业单位医疗（款）</w:t>
      </w:r>
      <w:r>
        <w:rPr>
          <w:rFonts w:hint="eastAsia" w:ascii="仿宋_GB2312" w:hAnsi="黑体" w:eastAsia="仿宋_GB2312"/>
          <w:sz w:val="32"/>
          <w:szCs w:val="32"/>
          <w:lang w:eastAsia="zh-CN"/>
        </w:rPr>
        <w:t>事业</w:t>
      </w:r>
      <w:r>
        <w:rPr>
          <w:rFonts w:hint="eastAsia" w:ascii="仿宋_GB2312" w:hAnsi="黑体" w:eastAsia="仿宋_GB2312"/>
          <w:sz w:val="32"/>
          <w:szCs w:val="32"/>
        </w:rPr>
        <w:t>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15.77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0.23</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24.49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4.62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27.83</w:t>
      </w:r>
      <w:r>
        <w:rPr>
          <w:rFonts w:hint="eastAsia" w:ascii="仿宋_GB2312" w:hAnsi="黑体" w:eastAsia="仿宋_GB2312"/>
          <w:sz w:val="32"/>
          <w:szCs w:val="32"/>
        </w:rPr>
        <w:t>万元，与上年预算数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5.33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在职人员增加。</w:t>
      </w:r>
    </w:p>
    <w:p>
      <w:pPr>
        <w:ind w:firstLine="640"/>
        <w:rPr>
          <w:rFonts w:hint="eastAsia" w:ascii="黑体" w:hAnsi="黑体" w:eastAsia="黑体"/>
          <w:sz w:val="32"/>
          <w:szCs w:val="32"/>
          <w:lang w:eastAsia="zh-CN"/>
        </w:rPr>
      </w:pPr>
      <w:r>
        <w:rPr>
          <w:rFonts w:hint="eastAsia" w:ascii="黑体" w:hAnsi="黑体" w:eastAsia="黑体"/>
          <w:sz w:val="32"/>
          <w:szCs w:val="32"/>
        </w:rPr>
        <w:t>三、关于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392.84</w:t>
      </w:r>
      <w:r>
        <w:rPr>
          <w:rFonts w:hint="eastAsia" w:ascii="仿宋_GB2312" w:hAnsi="黑体" w:eastAsia="仿宋_GB2312"/>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364.17</w:t>
      </w:r>
      <w:r>
        <w:rPr>
          <w:rFonts w:hint="eastAsia" w:ascii="仿宋_GB2312" w:hAnsi="黑体" w:eastAsia="仿宋_GB2312"/>
          <w:color w:val="auto"/>
          <w:sz w:val="32"/>
          <w:szCs w:val="32"/>
        </w:rPr>
        <w:t>万元，主要包括：基本工资、津贴补贴、绩效工资、机关事业单位基本养老保险缴费、职业年金缴费、职工基本医疗保险缴费、公务员医疗补助缴费、其他社会保障缴费、住房公积金、医疗费、邮电费、奖励金;</w:t>
      </w:r>
    </w:p>
    <w:p>
      <w:pPr>
        <w:ind w:firstLine="640" w:firstLineChars="200"/>
        <w:rPr>
          <w:rFonts w:ascii="仿宋_GB2312" w:hAnsi="黑体" w:eastAsia="仿宋_GB2312"/>
          <w:color w:val="0000FF"/>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28.67</w:t>
      </w:r>
      <w:r>
        <w:rPr>
          <w:rFonts w:hint="eastAsia" w:ascii="仿宋_GB2312" w:hAnsi="黑体" w:eastAsia="仿宋_GB2312"/>
          <w:color w:val="auto"/>
          <w:sz w:val="32"/>
          <w:szCs w:val="32"/>
        </w:rPr>
        <w:t>万元，主要包括：其他社会保障缴费、其他工资福利支出、办公费、手续费、水费、电费、邮电费、物业管理费、维修（护）费、租赁费、工会经费、其他商品和服务支出、生活补助、办公设备购置。</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0.4</w:t>
      </w:r>
      <w:r>
        <w:rPr>
          <w:rFonts w:ascii="Times New Roman" w:hAnsi="Times New Roman" w:eastAsia="仿宋_GB2312" w:cs="Times New Roman"/>
          <w:sz w:val="32"/>
          <w:shd w:val="clear" w:color="auto" w:fill="FFFFFF"/>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年预算增长</w:t>
      </w:r>
      <w:r>
        <w:rPr>
          <w:rFonts w:hint="eastAsia" w:ascii="Times New Roman" w:hAnsi="Times New Roman" w:eastAsia="仿宋_GB2312" w:cs="Times New Roman"/>
          <w:color w:val="auto"/>
          <w:sz w:val="32"/>
          <w:shd w:val="clear" w:color="auto" w:fill="FFFFFF"/>
          <w:lang w:val="en-US" w:eastAsia="zh-CN"/>
        </w:rPr>
        <w:t>10</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接待到我单位开展调研的外单位人员</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政府性基金预算当年支出0万元。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（单位）所有收入和支出均纳入部门预算管理。收入</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一般公共预算拨款收入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835.84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835.84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835.84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477.79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政府购买服务和在职人员的增加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835.84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392.84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477.79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政府购买服务和在职人员的增加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政府采购预算总额333.32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333.32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黑体"/>
          <w:sz w:val="32"/>
          <w:szCs w:val="32"/>
        </w:rPr>
        <w:t>截至</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海口市药品不良反应监测中心</w:t>
      </w:r>
      <w:r>
        <w:rPr>
          <w:rFonts w:hint="eastAsia" w:ascii="仿宋_GB2312" w:hAnsi="黑体" w:eastAsia="仿宋_GB2312" w:cs="黑体"/>
          <w:sz w:val="32"/>
          <w:szCs w:val="32"/>
        </w:rPr>
        <w:t>共有车辆</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rPr>
        <w:t>辆</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个项目实行绩效目标管理，涉及一般公共预算835.</w:t>
      </w:r>
      <w:bookmarkStart w:id="0" w:name="_GoBack"/>
      <w:bookmarkEnd w:id="0"/>
      <w:r>
        <w:rPr>
          <w:rFonts w:hint="eastAsia" w:ascii="仿宋_GB2312" w:hAnsi="黑体" w:eastAsia="仿宋_GB2312" w:cs="仿宋_GB2312"/>
          <w:sz w:val="32"/>
          <w:szCs w:val="32"/>
        </w:rPr>
        <w:t>84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7D8C20"/>
    <w:multiLevelType w:val="singleLevel"/>
    <w:tmpl w:val="207D8C20"/>
    <w:lvl w:ilvl="0" w:tentative="0">
      <w:start w:val="4"/>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B2BA8"/>
    <w:rsid w:val="18C84AF5"/>
    <w:rsid w:val="193844F8"/>
    <w:rsid w:val="19D5DA33"/>
    <w:rsid w:val="1FBF8E30"/>
    <w:rsid w:val="258A4A39"/>
    <w:rsid w:val="2BDF0DC0"/>
    <w:rsid w:val="2C883D22"/>
    <w:rsid w:val="2E8863A7"/>
    <w:rsid w:val="2FF7110D"/>
    <w:rsid w:val="2FFFCED3"/>
    <w:rsid w:val="30FF5404"/>
    <w:rsid w:val="31867852"/>
    <w:rsid w:val="32E97385"/>
    <w:rsid w:val="33175CF1"/>
    <w:rsid w:val="3DC410A0"/>
    <w:rsid w:val="3F7FB4B5"/>
    <w:rsid w:val="3FAD4D11"/>
    <w:rsid w:val="4D7C3C4E"/>
    <w:rsid w:val="4FB80849"/>
    <w:rsid w:val="51803B4B"/>
    <w:rsid w:val="51D25AB2"/>
    <w:rsid w:val="5B8E25D4"/>
    <w:rsid w:val="5D5E2CAF"/>
    <w:rsid w:val="5DB7E539"/>
    <w:rsid w:val="64850487"/>
    <w:rsid w:val="66DACB0B"/>
    <w:rsid w:val="697BF56A"/>
    <w:rsid w:val="69870E06"/>
    <w:rsid w:val="6B6CE30F"/>
    <w:rsid w:val="6C7F1319"/>
    <w:rsid w:val="6DDF74AC"/>
    <w:rsid w:val="6FAF0D8D"/>
    <w:rsid w:val="6FCFCADC"/>
    <w:rsid w:val="6FFA4FE6"/>
    <w:rsid w:val="723B509C"/>
    <w:rsid w:val="75FB0B04"/>
    <w:rsid w:val="7889228F"/>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38</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123</cp:lastModifiedBy>
  <dcterms:modified xsi:type="dcterms:W3CDTF">2024-02-04T08:42:25Z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