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lang w:val="en-US" w:eastAsia="zh-CN"/>
        </w:rPr>
        <w:t>2023年海口市生物降解塑料袋</w:t>
      </w:r>
      <w:r>
        <w:rPr>
          <w:rFonts w:hint="eastAsia" w:ascii="宋体" w:hAnsi="宋体" w:eastAsia="宋体" w:cs="宋体"/>
          <w:b/>
          <w:bCs/>
          <w:color w:val="000000"/>
          <w:sz w:val="32"/>
          <w:szCs w:val="32"/>
          <w:highlight w:val="none"/>
        </w:rPr>
        <w:t>产品质量监督抽查实施细则</w:t>
      </w:r>
    </w:p>
    <w:p>
      <w:pPr>
        <w:adjustRightInd w:val="0"/>
        <w:snapToGrid w:val="0"/>
        <w:spacing w:line="594" w:lineRule="exact"/>
        <w:jc w:val="center"/>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每批次产品抽样数量</w:t>
      </w:r>
      <w:r>
        <w:rPr>
          <w:rFonts w:hint="eastAsia" w:ascii="宋体" w:hAnsi="宋体" w:eastAsia="宋体" w:cs="宋体"/>
          <w:color w:val="auto"/>
          <w:sz w:val="21"/>
          <w:szCs w:val="21"/>
          <w:lang w:eastAsia="zh-CN"/>
        </w:rPr>
        <w:t>不少于</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0个</w:t>
      </w:r>
      <w:r>
        <w:rPr>
          <w:rFonts w:hint="eastAsia" w:asciiTheme="minorEastAsia" w:hAnsiTheme="minorEastAsia" w:eastAsiaTheme="minorEastAsia" w:cstheme="minorEastAsia"/>
          <w:color w:val="auto"/>
          <w:sz w:val="21"/>
          <w:szCs w:val="21"/>
          <w:highlight w:val="none"/>
          <w:lang w:val="en-US" w:eastAsia="zh-CN"/>
        </w:rPr>
        <w:t>,其中</w:t>
      </w:r>
      <w:r>
        <w:rPr>
          <w:rFonts w:hint="eastAsia" w:ascii="宋体" w:hAnsi="宋体" w:eastAsia="宋体" w:cs="宋体"/>
          <w:color w:val="auto"/>
          <w:sz w:val="21"/>
          <w:szCs w:val="21"/>
          <w:lang w:eastAsia="zh-CN"/>
        </w:rPr>
        <w:t>不少于</w:t>
      </w: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0个</w:t>
      </w:r>
      <w:r>
        <w:rPr>
          <w:rFonts w:hint="eastAsia" w:asciiTheme="minorEastAsia" w:hAnsiTheme="minorEastAsia" w:eastAsiaTheme="minorEastAsia" w:cstheme="minorEastAsia"/>
          <w:color w:val="auto"/>
          <w:sz w:val="21"/>
          <w:szCs w:val="21"/>
          <w:highlight w:val="none"/>
          <w:lang w:val="en-US" w:eastAsia="zh-CN"/>
        </w:rPr>
        <w:t>为检验样品，</w:t>
      </w:r>
      <w:r>
        <w:rPr>
          <w:rFonts w:hint="eastAsia" w:ascii="宋体" w:hAnsi="宋体" w:eastAsia="宋体" w:cs="宋体"/>
          <w:color w:val="auto"/>
          <w:sz w:val="21"/>
          <w:szCs w:val="21"/>
          <w:lang w:eastAsia="zh-CN"/>
        </w:rPr>
        <w:t>不少于</w:t>
      </w: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0个</w:t>
      </w:r>
      <w:r>
        <w:rPr>
          <w:rFonts w:hint="eastAsia" w:asciiTheme="minorEastAsia" w:hAnsiTheme="minorEastAsia" w:eastAsiaTheme="minorEastAsia" w:cstheme="minorEastAsia"/>
          <w:color w:val="auto"/>
          <w:sz w:val="21"/>
          <w:szCs w:val="21"/>
          <w:highlight w:val="none"/>
          <w:lang w:val="en-US" w:eastAsia="zh-CN"/>
        </w:rPr>
        <w:t>为备用样品。</w:t>
      </w:r>
    </w:p>
    <w:p>
      <w:pPr>
        <w:pStyle w:val="2"/>
        <w:rPr>
          <w:rFonts w:hint="eastAsia"/>
          <w:color w:val="auto"/>
          <w:lang w:val="en-US" w:eastAsia="zh-CN"/>
        </w:rPr>
      </w:pPr>
    </w:p>
    <w:p>
      <w:pPr>
        <w:keepNext w:val="0"/>
        <w:keepLines w:val="0"/>
        <w:pageBreakBefore w:val="0"/>
        <w:widowControl w:val="0"/>
        <w:shd w:val="clear"/>
        <w:kinsoku/>
        <w:wordWrap/>
        <w:overflowPunct/>
        <w:topLinePunct w:val="0"/>
        <w:autoSpaceDE/>
        <w:autoSpaceDN/>
        <w:bidi w:val="0"/>
        <w:adjustRightInd/>
        <w:snapToGrid w:val="0"/>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2 检验依据</w:t>
      </w:r>
      <w:bookmarkStart w:id="0" w:name="_Hlk40347690"/>
    </w:p>
    <w:p>
      <w:pPr>
        <w:keepNext w:val="0"/>
        <w:keepLines w:val="0"/>
        <w:pageBreakBefore w:val="0"/>
        <w:shd w:val="clear"/>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表1</w:t>
      </w:r>
      <w:r>
        <w:rPr>
          <w:rFonts w:hint="eastAsia" w:ascii="宋体" w:hAnsi="宋体" w:eastAsia="宋体" w:cs="宋体"/>
          <w:color w:val="auto"/>
          <w:sz w:val="21"/>
          <w:szCs w:val="21"/>
          <w:highlight w:val="none"/>
          <w:lang w:eastAsia="zh-CN"/>
        </w:rPr>
        <w:t>生物降解塑料购物袋</w:t>
      </w:r>
      <w:r>
        <w:rPr>
          <w:rFonts w:hint="eastAsia" w:ascii="宋体" w:hAnsi="宋体" w:eastAsia="宋体" w:cs="宋体"/>
          <w:color w:val="auto"/>
          <w:sz w:val="21"/>
          <w:szCs w:val="21"/>
          <w:highlight w:val="none"/>
          <w:lang w:val="en-US" w:eastAsia="zh-CN"/>
        </w:rPr>
        <w:t>检验项目</w:t>
      </w:r>
    </w:p>
    <w:tbl>
      <w:tblPr>
        <w:tblStyle w:val="11"/>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760"/>
        <w:gridCol w:w="2055"/>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760"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检验项目</w:t>
            </w:r>
          </w:p>
        </w:tc>
        <w:tc>
          <w:tcPr>
            <w:tcW w:w="2055"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执行标准</w:t>
            </w:r>
          </w:p>
        </w:tc>
        <w:tc>
          <w:tcPr>
            <w:tcW w:w="2641"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1</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异嗅</w:t>
            </w:r>
          </w:p>
        </w:tc>
        <w:tc>
          <w:tcPr>
            <w:tcW w:w="2055" w:type="dxa"/>
            <w:vMerge w:val="restart"/>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lang w:eastAsia="zh-CN"/>
              </w:rPr>
              <w:t>GB/T 38082-2019</w:t>
            </w:r>
          </w:p>
        </w:tc>
        <w:tc>
          <w:tcPr>
            <w:tcW w:w="2641" w:type="dxa"/>
            <w:noWrap w:val="0"/>
            <w:vAlign w:val="center"/>
          </w:tcPr>
          <w:p>
            <w:pPr>
              <w:pStyle w:val="25"/>
              <w:keepNext w:val="0"/>
              <w:keepLines w:val="0"/>
              <w:widowControl/>
              <w:suppressLineNumbers w:val="0"/>
              <w:spacing w:before="133" w:line="240" w:lineRule="auto"/>
              <w:ind w:left="111"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2</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外观</w:t>
            </w:r>
          </w:p>
        </w:tc>
        <w:tc>
          <w:tcPr>
            <w:tcW w:w="2055"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41" w:type="dxa"/>
            <w:noWrap w:val="0"/>
            <w:vAlign w:val="center"/>
          </w:tcPr>
          <w:p>
            <w:pPr>
              <w:pStyle w:val="25"/>
              <w:keepNext w:val="0"/>
              <w:keepLines w:val="0"/>
              <w:widowControl/>
              <w:suppressLineNumbers w:val="0"/>
              <w:spacing w:before="133" w:line="240" w:lineRule="auto"/>
              <w:ind w:left="111"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3</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厚度及偏差</w:t>
            </w:r>
          </w:p>
        </w:tc>
        <w:tc>
          <w:tcPr>
            <w:tcW w:w="2055"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41"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4</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提吊试验</w:t>
            </w:r>
          </w:p>
        </w:tc>
        <w:tc>
          <w:tcPr>
            <w:tcW w:w="2055"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41"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bidi="ar"/>
              </w:rPr>
              <w:t>5</w:t>
            </w:r>
          </w:p>
        </w:tc>
        <w:tc>
          <w:tcPr>
            <w:tcW w:w="2760" w:type="dxa"/>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zh-CN" w:eastAsia="zh-CN" w:bidi="zh-CN"/>
              </w:rPr>
            </w:pPr>
            <w:r>
              <w:rPr>
                <w:rFonts w:hint="eastAsia"/>
                <w:color w:val="auto"/>
                <w:lang w:eastAsia="zh-CN"/>
              </w:rPr>
              <w:t>跌落试验</w:t>
            </w:r>
          </w:p>
        </w:tc>
        <w:tc>
          <w:tcPr>
            <w:tcW w:w="2055"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41"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bidi="ar"/>
              </w:rPr>
              <w:t>6</w:t>
            </w:r>
          </w:p>
        </w:tc>
        <w:tc>
          <w:tcPr>
            <w:tcW w:w="2760" w:type="dxa"/>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zh-CN" w:eastAsia="zh-CN" w:bidi="zh-CN"/>
              </w:rPr>
            </w:pPr>
            <w:r>
              <w:rPr>
                <w:rFonts w:hint="eastAsia"/>
                <w:color w:val="auto"/>
                <w:lang w:eastAsia="zh-CN"/>
              </w:rPr>
              <w:t>漏水性</w:t>
            </w:r>
          </w:p>
        </w:tc>
        <w:tc>
          <w:tcPr>
            <w:tcW w:w="2055"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41"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bidi="ar"/>
              </w:rPr>
              <w:t>7</w:t>
            </w:r>
          </w:p>
        </w:tc>
        <w:tc>
          <w:tcPr>
            <w:tcW w:w="2760" w:type="dxa"/>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zh-CN" w:eastAsia="zh-CN" w:bidi="zh-CN"/>
              </w:rPr>
            </w:pPr>
            <w:r>
              <w:rPr>
                <w:rFonts w:hint="eastAsia"/>
                <w:color w:val="auto"/>
                <w:lang w:eastAsia="zh-CN"/>
              </w:rPr>
              <w:t>封合强度</w:t>
            </w:r>
          </w:p>
        </w:tc>
        <w:tc>
          <w:tcPr>
            <w:tcW w:w="2055"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41"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 w:val="21"/>
                <w:szCs w:val="21"/>
                <w:lang w:bidi="ar"/>
              </w:rPr>
              <w:t>8</w:t>
            </w:r>
          </w:p>
        </w:tc>
        <w:tc>
          <w:tcPr>
            <w:tcW w:w="2760" w:type="dxa"/>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生物降解性能</w:t>
            </w:r>
          </w:p>
        </w:tc>
        <w:tc>
          <w:tcPr>
            <w:tcW w:w="2055" w:type="dxa"/>
            <w:vMerge w:val="continue"/>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en-US" w:eastAsia="zh-CN" w:bidi="zh-CN"/>
              </w:rPr>
            </w:pPr>
          </w:p>
        </w:tc>
        <w:tc>
          <w:tcPr>
            <w:tcW w:w="2641" w:type="dxa"/>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GB/T 19276.1-2003</w:t>
            </w:r>
          </w:p>
          <w:p>
            <w:pPr>
              <w:widowControl/>
              <w:spacing w:line="240" w:lineRule="auto"/>
              <w:jc w:val="center"/>
              <w:textAlignment w:val="center"/>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GB/T 19276.2-2003</w:t>
            </w:r>
          </w:p>
          <w:p>
            <w:pPr>
              <w:widowControl/>
              <w:spacing w:line="240" w:lineRule="auto"/>
              <w:jc w:val="center"/>
              <w:textAlignment w:val="center"/>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GB/T 19277.1-2011</w:t>
            </w:r>
          </w:p>
          <w:p>
            <w:pPr>
              <w:widowControl/>
              <w:spacing w:line="240" w:lineRule="auto"/>
              <w:jc w:val="center"/>
              <w:textAlignment w:val="center"/>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GB/T 19277.2-2013</w:t>
            </w:r>
          </w:p>
          <w:p>
            <w:pPr>
              <w:widowControl/>
              <w:spacing w:line="240" w:lineRule="auto"/>
              <w:jc w:val="center"/>
              <w:textAlignment w:val="center"/>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GB/T 9345.1-2008</w:t>
            </w:r>
          </w:p>
        </w:tc>
      </w:tr>
    </w:tbl>
    <w:p>
      <w:pPr>
        <w:keepNext w:val="0"/>
        <w:keepLines w:val="0"/>
        <w:pageBreakBefore w:val="0"/>
        <w:widowControl w:val="0"/>
        <w:shd w:val="clear"/>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bookmarkStart w:id="1" w:name="_GoBack"/>
      <w:r>
        <w:rPr>
          <w:rFonts w:hint="eastAsia" w:ascii="宋体" w:hAnsi="宋体" w:eastAsia="宋体" w:cs="宋体"/>
          <w:color w:val="auto"/>
          <w:sz w:val="21"/>
          <w:szCs w:val="21"/>
          <w:highlight w:val="none"/>
          <w:lang w:val="en-US" w:eastAsia="zh-CN"/>
        </w:rPr>
        <w:t>表</w:t>
      </w:r>
      <w:r>
        <w:rPr>
          <w:rFonts w:hint="eastAsia" w:ascii="宋体" w:hAnsi="宋体" w:cs="宋体"/>
          <w:color w:val="auto"/>
          <w:sz w:val="21"/>
          <w:szCs w:val="21"/>
          <w:highlight w:val="none"/>
          <w:lang w:val="en-US" w:eastAsia="zh-CN"/>
        </w:rPr>
        <w:t>2</w:t>
      </w:r>
      <w:r>
        <w:rPr>
          <w:rFonts w:hint="eastAsia"/>
          <w:color w:val="auto"/>
          <w:lang w:eastAsia="zh-CN"/>
        </w:rPr>
        <w:t>生物分解塑料垃圾袋</w:t>
      </w:r>
      <w:r>
        <w:rPr>
          <w:rFonts w:hint="eastAsia" w:ascii="宋体" w:hAnsi="宋体" w:eastAsia="宋体" w:cs="宋体"/>
          <w:color w:val="auto"/>
          <w:sz w:val="21"/>
          <w:szCs w:val="21"/>
          <w:highlight w:val="none"/>
          <w:lang w:val="en-US" w:eastAsia="zh-CN"/>
        </w:rPr>
        <w:t>检验项目</w:t>
      </w:r>
      <w:bookmarkEnd w:id="1"/>
    </w:p>
    <w:tbl>
      <w:tblPr>
        <w:tblStyle w:val="11"/>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760"/>
        <w:gridCol w:w="2070"/>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760"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检验项目</w:t>
            </w:r>
          </w:p>
        </w:tc>
        <w:tc>
          <w:tcPr>
            <w:tcW w:w="2070"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执行标准</w:t>
            </w:r>
          </w:p>
        </w:tc>
        <w:tc>
          <w:tcPr>
            <w:tcW w:w="2626" w:type="dxa"/>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1</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感官</w:t>
            </w:r>
          </w:p>
        </w:tc>
        <w:tc>
          <w:tcPr>
            <w:tcW w:w="2070" w:type="dxa"/>
            <w:vMerge w:val="restart"/>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lang w:eastAsia="zh-CN"/>
              </w:rPr>
              <w:t>GB/T 28018-2011</w:t>
            </w:r>
          </w:p>
        </w:tc>
        <w:tc>
          <w:tcPr>
            <w:tcW w:w="2626" w:type="dxa"/>
            <w:noWrap w:val="0"/>
            <w:vAlign w:val="center"/>
          </w:tcPr>
          <w:p>
            <w:pPr>
              <w:pStyle w:val="25"/>
              <w:keepNext w:val="0"/>
              <w:keepLines w:val="0"/>
              <w:widowControl/>
              <w:suppressLineNumbers w:val="0"/>
              <w:spacing w:before="133" w:line="240" w:lineRule="auto"/>
              <w:ind w:left="111"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24454-2009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2</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尺寸偏差</w:t>
            </w:r>
          </w:p>
        </w:tc>
        <w:tc>
          <w:tcPr>
            <w:tcW w:w="2070"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26" w:type="dxa"/>
            <w:noWrap w:val="0"/>
            <w:vAlign w:val="center"/>
          </w:tcPr>
          <w:p>
            <w:pPr>
              <w:pStyle w:val="25"/>
              <w:keepNext w:val="0"/>
              <w:keepLines w:val="0"/>
              <w:widowControl/>
              <w:suppressLineNumbers w:val="0"/>
              <w:spacing w:before="133" w:line="240" w:lineRule="auto"/>
              <w:ind w:left="111" w:lef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24454-2009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3</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抗渗漏性能</w:t>
            </w:r>
          </w:p>
        </w:tc>
        <w:tc>
          <w:tcPr>
            <w:tcW w:w="2070"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26"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24454-2009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bidi="ar"/>
              </w:rPr>
              <w:t>4</w:t>
            </w:r>
          </w:p>
        </w:tc>
        <w:tc>
          <w:tcPr>
            <w:tcW w:w="2760" w:type="dxa"/>
            <w:noWrap w:val="0"/>
            <w:vAlign w:val="center"/>
          </w:tcPr>
          <w:p>
            <w:pPr>
              <w:widowControl/>
              <w:spacing w:line="240" w:lineRule="auto"/>
              <w:jc w:val="center"/>
              <w:textAlignment w:val="center"/>
              <w:rPr>
                <w:rFonts w:hint="eastAsia" w:ascii="宋体" w:hAnsi="宋体" w:eastAsia="宋体" w:cs="宋体"/>
                <w:color w:val="auto"/>
                <w:sz w:val="21"/>
                <w:szCs w:val="21"/>
                <w:highlight w:val="none"/>
                <w:lang w:eastAsia="zh-CN"/>
              </w:rPr>
            </w:pPr>
            <w:r>
              <w:rPr>
                <w:rFonts w:hint="eastAsia"/>
                <w:color w:val="auto"/>
                <w:lang w:eastAsia="zh-CN"/>
              </w:rPr>
              <w:t>跌落性能</w:t>
            </w:r>
          </w:p>
        </w:tc>
        <w:tc>
          <w:tcPr>
            <w:tcW w:w="2070"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26"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24454-2009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bidi="ar"/>
              </w:rPr>
              <w:t>5</w:t>
            </w:r>
          </w:p>
        </w:tc>
        <w:tc>
          <w:tcPr>
            <w:tcW w:w="2760" w:type="dxa"/>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zh-CN" w:eastAsia="zh-CN" w:bidi="zh-CN"/>
              </w:rPr>
            </w:pPr>
            <w:r>
              <w:rPr>
                <w:rFonts w:hint="eastAsia"/>
                <w:color w:val="auto"/>
                <w:lang w:eastAsia="zh-CN"/>
              </w:rPr>
              <w:t>提吊试验</w:t>
            </w:r>
          </w:p>
        </w:tc>
        <w:tc>
          <w:tcPr>
            <w:tcW w:w="2070"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26"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24454-2009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bidi="ar"/>
              </w:rPr>
              <w:t>6</w:t>
            </w:r>
          </w:p>
        </w:tc>
        <w:tc>
          <w:tcPr>
            <w:tcW w:w="2760" w:type="dxa"/>
            <w:noWrap w:val="0"/>
            <w:vAlign w:val="center"/>
          </w:tcPr>
          <w:p>
            <w:pPr>
              <w:widowControl/>
              <w:spacing w:line="240" w:lineRule="auto"/>
              <w:jc w:val="center"/>
              <w:textAlignment w:val="center"/>
              <w:rPr>
                <w:rFonts w:hint="eastAsia" w:ascii="宋体" w:hAnsi="宋体" w:eastAsia="宋体" w:cs="宋体"/>
                <w:color w:val="auto"/>
                <w:kern w:val="2"/>
                <w:sz w:val="21"/>
                <w:szCs w:val="21"/>
                <w:highlight w:val="none"/>
                <w:lang w:val="zh-CN" w:eastAsia="zh-CN" w:bidi="zh-CN"/>
              </w:rPr>
            </w:pPr>
            <w:r>
              <w:rPr>
                <w:rFonts w:hint="eastAsia"/>
                <w:color w:val="auto"/>
                <w:lang w:eastAsia="zh-CN"/>
              </w:rPr>
              <w:t>拉紧绳拉伸力</w:t>
            </w:r>
          </w:p>
        </w:tc>
        <w:tc>
          <w:tcPr>
            <w:tcW w:w="2070"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26"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24454-2009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noWrap w:val="0"/>
            <w:vAlign w:val="center"/>
          </w:tcPr>
          <w:p>
            <w:pPr>
              <w:widowControl/>
              <w:spacing w:line="240" w:lineRule="auto"/>
              <w:jc w:val="center"/>
              <w:textAlignment w:val="center"/>
              <w:rPr>
                <w:rFonts w:hint="eastAsia"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7</w:t>
            </w:r>
          </w:p>
        </w:tc>
        <w:tc>
          <w:tcPr>
            <w:tcW w:w="2760" w:type="dxa"/>
            <w:noWrap w:val="0"/>
            <w:vAlign w:val="center"/>
          </w:tcPr>
          <w:p>
            <w:pPr>
              <w:widowControl/>
              <w:spacing w:line="240" w:lineRule="auto"/>
              <w:jc w:val="center"/>
              <w:textAlignment w:val="center"/>
              <w:rPr>
                <w:rFonts w:hint="eastAsia"/>
                <w:color w:val="auto"/>
                <w:lang w:eastAsia="zh-CN"/>
              </w:rPr>
            </w:pPr>
            <w:r>
              <w:rPr>
                <w:rFonts w:hint="eastAsia"/>
                <w:color w:val="auto"/>
                <w:lang w:eastAsia="zh-CN"/>
              </w:rPr>
              <w:t>生物分解率</w:t>
            </w:r>
          </w:p>
        </w:tc>
        <w:tc>
          <w:tcPr>
            <w:tcW w:w="2070" w:type="dxa"/>
            <w:vMerge w:val="continue"/>
            <w:noWrap w:val="0"/>
            <w:vAlign w:val="center"/>
          </w:tcPr>
          <w:p>
            <w:pPr>
              <w:keepNext w:val="0"/>
              <w:keepLines w:val="0"/>
              <w:pageBreakBefore w:val="0"/>
              <w:shd w:val="clear"/>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626"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19276.1-2003</w:t>
            </w:r>
          </w:p>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19276.2-2003</w:t>
            </w:r>
          </w:p>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19277-2003</w:t>
            </w:r>
          </w:p>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22047-2008</w:t>
            </w:r>
          </w:p>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19277.1-2011</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执行企业标准、团体标准、地方标准的产品，检验项目参照上述内容执行。</w:t>
      </w:r>
      <w:bookmarkEnd w:id="0"/>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beforeLines="50" w:line="440" w:lineRule="exac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3.1依据标准</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38082-2019生物降解塑料购物袋</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GB/T 28018-2011</w:t>
      </w:r>
      <w:r>
        <w:rPr>
          <w:rFonts w:hint="eastAsia" w:ascii="宋体" w:hAnsi="宋体" w:eastAsia="宋体" w:cs="宋体"/>
          <w:highlight w:val="none"/>
          <w:lang w:val="en-US" w:eastAsia="zh-CN"/>
        </w:rPr>
        <w:t xml:space="preserve"> 生物分解塑料垃圾袋</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现行有效的企业标准、团体标准、地方标准及产品明示质量要求</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3.2判定原则</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若被检产品明示的质量要求缺少本细则中检验项目依据的推荐性标准要求时，该项目不参与判定。</w:t>
      </w: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cs="宋体"/>
        <w:sz w:val="21"/>
        <w:szCs w:val="21"/>
      </w:rPr>
    </w:pPr>
    <w:r>
      <w:rPr>
        <w:rFonts w:ascii="宋体" w:hAnsi="宋体" w:cs="宋体"/>
        <w:sz w:val="21"/>
        <w:szCs w:val="21"/>
        <w:lang w:val="zh-CN"/>
      </w:rPr>
      <w:fldChar w:fldCharType="begin"/>
    </w:r>
    <w:r>
      <w:rPr>
        <w:rFonts w:ascii="宋体" w:hAnsi="宋体" w:cs="宋体"/>
        <w:sz w:val="21"/>
        <w:szCs w:val="21"/>
        <w:lang w:val="zh-CN"/>
      </w:rPr>
      <w:instrText xml:space="preserve"> PAGE   \* MERGEFORMAT </w:instrText>
    </w:r>
    <w:r>
      <w:rPr>
        <w:rFonts w:ascii="宋体" w:hAnsi="宋体" w:cs="宋体"/>
        <w:sz w:val="21"/>
        <w:szCs w:val="21"/>
        <w:lang w:val="zh-CN"/>
      </w:rPr>
      <w:fldChar w:fldCharType="separate"/>
    </w:r>
    <w:r>
      <w:rPr>
        <w:rFonts w:ascii="宋体" w:hAnsi="宋体" w:cs="宋体"/>
        <w:sz w:val="21"/>
        <w:szCs w:val="21"/>
        <w:lang w:val="en-US"/>
      </w:rPr>
      <w:t>1</w:t>
    </w:r>
    <w:r>
      <w:rPr>
        <w:rFonts w:ascii="宋体" w:hAnsi="宋体" w:cs="宋体"/>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MTY5ZWZkMWRiZTVmYTYzZTQ5MWFhZmRhZTBhMjEifQ=="/>
  </w:docVars>
  <w:rsids>
    <w:rsidRoot w:val="00172A27"/>
    <w:rsid w:val="00042073"/>
    <w:rsid w:val="00044395"/>
    <w:rsid w:val="00051A44"/>
    <w:rsid w:val="00067341"/>
    <w:rsid w:val="00075F11"/>
    <w:rsid w:val="00081CBD"/>
    <w:rsid w:val="00094077"/>
    <w:rsid w:val="000976DE"/>
    <w:rsid w:val="000B4710"/>
    <w:rsid w:val="000D3400"/>
    <w:rsid w:val="000D5D4E"/>
    <w:rsid w:val="000E6F29"/>
    <w:rsid w:val="000F03DF"/>
    <w:rsid w:val="000F3729"/>
    <w:rsid w:val="00145507"/>
    <w:rsid w:val="0015727A"/>
    <w:rsid w:val="00164FF8"/>
    <w:rsid w:val="001710C3"/>
    <w:rsid w:val="00172A27"/>
    <w:rsid w:val="001809DD"/>
    <w:rsid w:val="00194335"/>
    <w:rsid w:val="001B6212"/>
    <w:rsid w:val="001C1BB2"/>
    <w:rsid w:val="001E2620"/>
    <w:rsid w:val="001E5FEE"/>
    <w:rsid w:val="002209DD"/>
    <w:rsid w:val="002301B8"/>
    <w:rsid w:val="00235A62"/>
    <w:rsid w:val="0025350A"/>
    <w:rsid w:val="00253624"/>
    <w:rsid w:val="002619B0"/>
    <w:rsid w:val="002623DD"/>
    <w:rsid w:val="0027151F"/>
    <w:rsid w:val="002A5458"/>
    <w:rsid w:val="002B5408"/>
    <w:rsid w:val="002D3385"/>
    <w:rsid w:val="002D4076"/>
    <w:rsid w:val="002D7F8A"/>
    <w:rsid w:val="002E0D1D"/>
    <w:rsid w:val="002E792F"/>
    <w:rsid w:val="003203A3"/>
    <w:rsid w:val="0034769B"/>
    <w:rsid w:val="00351550"/>
    <w:rsid w:val="00357AC7"/>
    <w:rsid w:val="003640ED"/>
    <w:rsid w:val="003C388C"/>
    <w:rsid w:val="003E61BF"/>
    <w:rsid w:val="003F553F"/>
    <w:rsid w:val="004206DA"/>
    <w:rsid w:val="004437D9"/>
    <w:rsid w:val="00445E86"/>
    <w:rsid w:val="0046458B"/>
    <w:rsid w:val="00474E04"/>
    <w:rsid w:val="004A64B5"/>
    <w:rsid w:val="004C761F"/>
    <w:rsid w:val="004D0C5A"/>
    <w:rsid w:val="004E1396"/>
    <w:rsid w:val="004F555A"/>
    <w:rsid w:val="0051162F"/>
    <w:rsid w:val="00541BF7"/>
    <w:rsid w:val="00563EBC"/>
    <w:rsid w:val="00597FA2"/>
    <w:rsid w:val="005B0B4F"/>
    <w:rsid w:val="005F353F"/>
    <w:rsid w:val="006056EB"/>
    <w:rsid w:val="0061086F"/>
    <w:rsid w:val="00662229"/>
    <w:rsid w:val="006713D6"/>
    <w:rsid w:val="00681EDA"/>
    <w:rsid w:val="00692B5B"/>
    <w:rsid w:val="00693B8F"/>
    <w:rsid w:val="006971BF"/>
    <w:rsid w:val="006A4B8F"/>
    <w:rsid w:val="006F0971"/>
    <w:rsid w:val="00715923"/>
    <w:rsid w:val="0072334C"/>
    <w:rsid w:val="007235B4"/>
    <w:rsid w:val="007408F6"/>
    <w:rsid w:val="007652A4"/>
    <w:rsid w:val="007A39F0"/>
    <w:rsid w:val="007B5BD5"/>
    <w:rsid w:val="007C60F1"/>
    <w:rsid w:val="007E1E99"/>
    <w:rsid w:val="007E6900"/>
    <w:rsid w:val="007F047E"/>
    <w:rsid w:val="00822D40"/>
    <w:rsid w:val="008839CD"/>
    <w:rsid w:val="00895BEA"/>
    <w:rsid w:val="008A3497"/>
    <w:rsid w:val="008B2694"/>
    <w:rsid w:val="00902779"/>
    <w:rsid w:val="009100B4"/>
    <w:rsid w:val="00917A54"/>
    <w:rsid w:val="00990873"/>
    <w:rsid w:val="009A6948"/>
    <w:rsid w:val="00A43553"/>
    <w:rsid w:val="00A52698"/>
    <w:rsid w:val="00A66378"/>
    <w:rsid w:val="00A714C4"/>
    <w:rsid w:val="00A81A11"/>
    <w:rsid w:val="00AB406F"/>
    <w:rsid w:val="00AB5364"/>
    <w:rsid w:val="00AD1F0D"/>
    <w:rsid w:val="00B00A02"/>
    <w:rsid w:val="00B11BDC"/>
    <w:rsid w:val="00B21814"/>
    <w:rsid w:val="00B501D0"/>
    <w:rsid w:val="00B71C88"/>
    <w:rsid w:val="00B80796"/>
    <w:rsid w:val="00B90291"/>
    <w:rsid w:val="00BA3F4E"/>
    <w:rsid w:val="00BA571D"/>
    <w:rsid w:val="00BA612B"/>
    <w:rsid w:val="00BB6A5D"/>
    <w:rsid w:val="00BD1FD8"/>
    <w:rsid w:val="00C116DD"/>
    <w:rsid w:val="00C26074"/>
    <w:rsid w:val="00C61942"/>
    <w:rsid w:val="00C83B0A"/>
    <w:rsid w:val="00C94B32"/>
    <w:rsid w:val="00CA078C"/>
    <w:rsid w:val="00CE1E0C"/>
    <w:rsid w:val="00CE277E"/>
    <w:rsid w:val="00D02FE3"/>
    <w:rsid w:val="00D1749D"/>
    <w:rsid w:val="00D56867"/>
    <w:rsid w:val="00D822C3"/>
    <w:rsid w:val="00DE52A3"/>
    <w:rsid w:val="00DE59CE"/>
    <w:rsid w:val="00E02A7F"/>
    <w:rsid w:val="00E07880"/>
    <w:rsid w:val="00E207FA"/>
    <w:rsid w:val="00E60E75"/>
    <w:rsid w:val="00E72135"/>
    <w:rsid w:val="00E722A0"/>
    <w:rsid w:val="00E75D62"/>
    <w:rsid w:val="00E76709"/>
    <w:rsid w:val="00E76F36"/>
    <w:rsid w:val="00E82621"/>
    <w:rsid w:val="00ED4B24"/>
    <w:rsid w:val="00F110BB"/>
    <w:rsid w:val="00F17854"/>
    <w:rsid w:val="00F36E11"/>
    <w:rsid w:val="00F61C45"/>
    <w:rsid w:val="00F77C9A"/>
    <w:rsid w:val="00F824D9"/>
    <w:rsid w:val="00F954E2"/>
    <w:rsid w:val="00FA2CA5"/>
    <w:rsid w:val="00FB576C"/>
    <w:rsid w:val="00FD2AA6"/>
    <w:rsid w:val="00FD6AFF"/>
    <w:rsid w:val="00FE7E8A"/>
    <w:rsid w:val="01004ACB"/>
    <w:rsid w:val="01093F7D"/>
    <w:rsid w:val="019208AA"/>
    <w:rsid w:val="01AA3877"/>
    <w:rsid w:val="02C32E43"/>
    <w:rsid w:val="02F72AEC"/>
    <w:rsid w:val="04194A00"/>
    <w:rsid w:val="04AC5B58"/>
    <w:rsid w:val="04B50EB1"/>
    <w:rsid w:val="06347E4B"/>
    <w:rsid w:val="06C62167"/>
    <w:rsid w:val="07455335"/>
    <w:rsid w:val="084C38DA"/>
    <w:rsid w:val="093525C0"/>
    <w:rsid w:val="09532056"/>
    <w:rsid w:val="09A6261B"/>
    <w:rsid w:val="09EB0ED1"/>
    <w:rsid w:val="0A061B9A"/>
    <w:rsid w:val="0A3507BB"/>
    <w:rsid w:val="0A5C6552"/>
    <w:rsid w:val="0A930FF4"/>
    <w:rsid w:val="0AC277D7"/>
    <w:rsid w:val="0AD37AC8"/>
    <w:rsid w:val="0B8B1738"/>
    <w:rsid w:val="0D532C07"/>
    <w:rsid w:val="0E3E1F17"/>
    <w:rsid w:val="0E6D7CC2"/>
    <w:rsid w:val="0E7771D7"/>
    <w:rsid w:val="0EB600C0"/>
    <w:rsid w:val="0EB67424"/>
    <w:rsid w:val="0F4C135D"/>
    <w:rsid w:val="0F827BE2"/>
    <w:rsid w:val="0FDD3479"/>
    <w:rsid w:val="10A20E04"/>
    <w:rsid w:val="10E5667A"/>
    <w:rsid w:val="111156C1"/>
    <w:rsid w:val="11360C84"/>
    <w:rsid w:val="11E02B36"/>
    <w:rsid w:val="121E77F5"/>
    <w:rsid w:val="12AD17A2"/>
    <w:rsid w:val="12FF038F"/>
    <w:rsid w:val="130D010A"/>
    <w:rsid w:val="135C6AE0"/>
    <w:rsid w:val="14403F37"/>
    <w:rsid w:val="14812D6C"/>
    <w:rsid w:val="151632A6"/>
    <w:rsid w:val="160618C5"/>
    <w:rsid w:val="16161E65"/>
    <w:rsid w:val="166E0EC0"/>
    <w:rsid w:val="1683733D"/>
    <w:rsid w:val="16A513BB"/>
    <w:rsid w:val="16BC1C2B"/>
    <w:rsid w:val="16C32FBA"/>
    <w:rsid w:val="16CD3E38"/>
    <w:rsid w:val="174851B8"/>
    <w:rsid w:val="178C5AA1"/>
    <w:rsid w:val="179130B8"/>
    <w:rsid w:val="18522411"/>
    <w:rsid w:val="18DC65B5"/>
    <w:rsid w:val="18F360E2"/>
    <w:rsid w:val="190B7525"/>
    <w:rsid w:val="19CE37E7"/>
    <w:rsid w:val="19D030B3"/>
    <w:rsid w:val="19FD421C"/>
    <w:rsid w:val="1A295961"/>
    <w:rsid w:val="1A301EA4"/>
    <w:rsid w:val="1A4B03FB"/>
    <w:rsid w:val="1ACE07F9"/>
    <w:rsid w:val="1B1C0CBA"/>
    <w:rsid w:val="1CBF06C7"/>
    <w:rsid w:val="1D6E57D3"/>
    <w:rsid w:val="1DC626DE"/>
    <w:rsid w:val="1E5A5ABF"/>
    <w:rsid w:val="1E8A6DBD"/>
    <w:rsid w:val="1F353E4A"/>
    <w:rsid w:val="1F4F2BD2"/>
    <w:rsid w:val="204D1B46"/>
    <w:rsid w:val="204F1D62"/>
    <w:rsid w:val="20B75CA9"/>
    <w:rsid w:val="210C148C"/>
    <w:rsid w:val="213D1BBA"/>
    <w:rsid w:val="21470C8B"/>
    <w:rsid w:val="21A54788"/>
    <w:rsid w:val="21BE04B9"/>
    <w:rsid w:val="21F821EF"/>
    <w:rsid w:val="220F3EEC"/>
    <w:rsid w:val="22206785"/>
    <w:rsid w:val="23C14D25"/>
    <w:rsid w:val="23CA70BF"/>
    <w:rsid w:val="23F81DA5"/>
    <w:rsid w:val="24465687"/>
    <w:rsid w:val="24BC7192"/>
    <w:rsid w:val="24CA626D"/>
    <w:rsid w:val="25410798"/>
    <w:rsid w:val="254479BB"/>
    <w:rsid w:val="25651A24"/>
    <w:rsid w:val="25753316"/>
    <w:rsid w:val="25B87416"/>
    <w:rsid w:val="25E44CFA"/>
    <w:rsid w:val="26212DDE"/>
    <w:rsid w:val="26234156"/>
    <w:rsid w:val="26497204"/>
    <w:rsid w:val="268D7140"/>
    <w:rsid w:val="26E45E5E"/>
    <w:rsid w:val="273E043A"/>
    <w:rsid w:val="27EB6814"/>
    <w:rsid w:val="285E0D94"/>
    <w:rsid w:val="28681C13"/>
    <w:rsid w:val="2A9443BD"/>
    <w:rsid w:val="2ACE735A"/>
    <w:rsid w:val="2AEF6C27"/>
    <w:rsid w:val="2B35258B"/>
    <w:rsid w:val="2C0C0B07"/>
    <w:rsid w:val="2C4B7184"/>
    <w:rsid w:val="2C9034E6"/>
    <w:rsid w:val="2D8D6C1D"/>
    <w:rsid w:val="2E0252B1"/>
    <w:rsid w:val="2E7F3812"/>
    <w:rsid w:val="2EAE2CC6"/>
    <w:rsid w:val="2F045AE0"/>
    <w:rsid w:val="2F5A7DDB"/>
    <w:rsid w:val="30224D9D"/>
    <w:rsid w:val="30BA6D84"/>
    <w:rsid w:val="31904FED"/>
    <w:rsid w:val="32075FF9"/>
    <w:rsid w:val="32951856"/>
    <w:rsid w:val="32C74F2A"/>
    <w:rsid w:val="33B65F28"/>
    <w:rsid w:val="34522BF0"/>
    <w:rsid w:val="34897229"/>
    <w:rsid w:val="34F60CF4"/>
    <w:rsid w:val="352944D8"/>
    <w:rsid w:val="353B5493"/>
    <w:rsid w:val="35973B37"/>
    <w:rsid w:val="35A149B6"/>
    <w:rsid w:val="36A518C2"/>
    <w:rsid w:val="36B204FD"/>
    <w:rsid w:val="36FF3742"/>
    <w:rsid w:val="37307DA0"/>
    <w:rsid w:val="374D6DF9"/>
    <w:rsid w:val="3852702E"/>
    <w:rsid w:val="38DD5D05"/>
    <w:rsid w:val="38F45B4D"/>
    <w:rsid w:val="39CE38A0"/>
    <w:rsid w:val="39EB6200"/>
    <w:rsid w:val="3A642A6A"/>
    <w:rsid w:val="3BBA296E"/>
    <w:rsid w:val="3BEB40E5"/>
    <w:rsid w:val="3C8E106E"/>
    <w:rsid w:val="3D761CEC"/>
    <w:rsid w:val="3DB40B61"/>
    <w:rsid w:val="3E80785E"/>
    <w:rsid w:val="3F0415FA"/>
    <w:rsid w:val="3F114CEB"/>
    <w:rsid w:val="3F941318"/>
    <w:rsid w:val="419B050B"/>
    <w:rsid w:val="43DE63A5"/>
    <w:rsid w:val="440C3942"/>
    <w:rsid w:val="44DC5E49"/>
    <w:rsid w:val="44F97927"/>
    <w:rsid w:val="45BE672D"/>
    <w:rsid w:val="45EF6003"/>
    <w:rsid w:val="46081EE8"/>
    <w:rsid w:val="461146A1"/>
    <w:rsid w:val="46B8256F"/>
    <w:rsid w:val="47CB736B"/>
    <w:rsid w:val="47E42D3C"/>
    <w:rsid w:val="48926E4B"/>
    <w:rsid w:val="489B1C01"/>
    <w:rsid w:val="497F59FA"/>
    <w:rsid w:val="4A113A61"/>
    <w:rsid w:val="4AA63638"/>
    <w:rsid w:val="4AB10DA0"/>
    <w:rsid w:val="4AF13892"/>
    <w:rsid w:val="4B7818BD"/>
    <w:rsid w:val="4BEF5B96"/>
    <w:rsid w:val="4C0C0983"/>
    <w:rsid w:val="4C696D9A"/>
    <w:rsid w:val="4D3E0715"/>
    <w:rsid w:val="4EC27E97"/>
    <w:rsid w:val="4ED212E5"/>
    <w:rsid w:val="4F365F84"/>
    <w:rsid w:val="4FBF0167"/>
    <w:rsid w:val="50363EEE"/>
    <w:rsid w:val="50416722"/>
    <w:rsid w:val="509458C1"/>
    <w:rsid w:val="50D6330E"/>
    <w:rsid w:val="50DF4A13"/>
    <w:rsid w:val="510A2FB8"/>
    <w:rsid w:val="5153495F"/>
    <w:rsid w:val="51D6733E"/>
    <w:rsid w:val="520C2352"/>
    <w:rsid w:val="522E622F"/>
    <w:rsid w:val="524152A4"/>
    <w:rsid w:val="527222CF"/>
    <w:rsid w:val="532A5B93"/>
    <w:rsid w:val="533A400F"/>
    <w:rsid w:val="53607DD7"/>
    <w:rsid w:val="53C02053"/>
    <w:rsid w:val="53C66440"/>
    <w:rsid w:val="53DB13D1"/>
    <w:rsid w:val="54596122"/>
    <w:rsid w:val="54CF67CC"/>
    <w:rsid w:val="550E5435"/>
    <w:rsid w:val="5513308D"/>
    <w:rsid w:val="55752566"/>
    <w:rsid w:val="565C77C3"/>
    <w:rsid w:val="56611181"/>
    <w:rsid w:val="5661367A"/>
    <w:rsid w:val="57B32CB8"/>
    <w:rsid w:val="57B819BF"/>
    <w:rsid w:val="583B3FD4"/>
    <w:rsid w:val="587E3410"/>
    <w:rsid w:val="58941D9A"/>
    <w:rsid w:val="58B303D9"/>
    <w:rsid w:val="590A624B"/>
    <w:rsid w:val="59485891"/>
    <w:rsid w:val="59635BFA"/>
    <w:rsid w:val="59ED459E"/>
    <w:rsid w:val="5A1B39FF"/>
    <w:rsid w:val="5A846EBF"/>
    <w:rsid w:val="5ABD01F2"/>
    <w:rsid w:val="5C545A2F"/>
    <w:rsid w:val="5CBB6483"/>
    <w:rsid w:val="5CC14FD1"/>
    <w:rsid w:val="5CCB630D"/>
    <w:rsid w:val="5CF1327E"/>
    <w:rsid w:val="5D8660BC"/>
    <w:rsid w:val="5DC6470A"/>
    <w:rsid w:val="5DCD7847"/>
    <w:rsid w:val="5E0B2391"/>
    <w:rsid w:val="5E4A2C9B"/>
    <w:rsid w:val="5E9521B4"/>
    <w:rsid w:val="5EE40D51"/>
    <w:rsid w:val="5EF145FA"/>
    <w:rsid w:val="5FA82319"/>
    <w:rsid w:val="5FE77CE8"/>
    <w:rsid w:val="600E790A"/>
    <w:rsid w:val="60B74CE9"/>
    <w:rsid w:val="60F16471"/>
    <w:rsid w:val="615C7DF0"/>
    <w:rsid w:val="61954B1F"/>
    <w:rsid w:val="624749F1"/>
    <w:rsid w:val="62612C54"/>
    <w:rsid w:val="62A11406"/>
    <w:rsid w:val="62AF16D3"/>
    <w:rsid w:val="63141C46"/>
    <w:rsid w:val="632F68AE"/>
    <w:rsid w:val="63C81B21"/>
    <w:rsid w:val="63CD67F3"/>
    <w:rsid w:val="64195594"/>
    <w:rsid w:val="6481138B"/>
    <w:rsid w:val="64C37830"/>
    <w:rsid w:val="64DF1CA6"/>
    <w:rsid w:val="65314B5F"/>
    <w:rsid w:val="65597FF0"/>
    <w:rsid w:val="65633D8D"/>
    <w:rsid w:val="673D3C8F"/>
    <w:rsid w:val="67F929C5"/>
    <w:rsid w:val="68612EB3"/>
    <w:rsid w:val="695011AA"/>
    <w:rsid w:val="695B599D"/>
    <w:rsid w:val="6A3E5A5A"/>
    <w:rsid w:val="6AA14535"/>
    <w:rsid w:val="6AE83F12"/>
    <w:rsid w:val="6AFF3C8B"/>
    <w:rsid w:val="6C586E75"/>
    <w:rsid w:val="6CB26F15"/>
    <w:rsid w:val="6DA1711F"/>
    <w:rsid w:val="6DD72BB3"/>
    <w:rsid w:val="6E5C0E9F"/>
    <w:rsid w:val="6F0238CE"/>
    <w:rsid w:val="6F885FD8"/>
    <w:rsid w:val="700115ED"/>
    <w:rsid w:val="70114AD2"/>
    <w:rsid w:val="70F33611"/>
    <w:rsid w:val="710D6480"/>
    <w:rsid w:val="71227C4B"/>
    <w:rsid w:val="713F0D28"/>
    <w:rsid w:val="71E748F5"/>
    <w:rsid w:val="727442DD"/>
    <w:rsid w:val="731564B1"/>
    <w:rsid w:val="733962DF"/>
    <w:rsid w:val="743A1F10"/>
    <w:rsid w:val="74CE7542"/>
    <w:rsid w:val="75295853"/>
    <w:rsid w:val="757271D1"/>
    <w:rsid w:val="75B861D3"/>
    <w:rsid w:val="75BB472E"/>
    <w:rsid w:val="774848A6"/>
    <w:rsid w:val="77901972"/>
    <w:rsid w:val="781400F4"/>
    <w:rsid w:val="78340796"/>
    <w:rsid w:val="78B3388C"/>
    <w:rsid w:val="78C849A6"/>
    <w:rsid w:val="794C5FB4"/>
    <w:rsid w:val="79A732F3"/>
    <w:rsid w:val="7A490206"/>
    <w:rsid w:val="7A6335B5"/>
    <w:rsid w:val="7A683CA2"/>
    <w:rsid w:val="7A9A25A5"/>
    <w:rsid w:val="7B9B0B2D"/>
    <w:rsid w:val="7BA7127F"/>
    <w:rsid w:val="7BBA5457"/>
    <w:rsid w:val="7BC9569A"/>
    <w:rsid w:val="7C1F350C"/>
    <w:rsid w:val="7CCD11BA"/>
    <w:rsid w:val="7D0B2BB6"/>
    <w:rsid w:val="7D7A766E"/>
    <w:rsid w:val="7F321C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rFonts w:ascii="Calibri" w:hAnsi="Calibri" w:cs="Calibri"/>
    </w:rPr>
  </w:style>
  <w:style w:type="paragraph" w:styleId="3">
    <w:name w:val="table of authorities"/>
    <w:basedOn w:val="1"/>
    <w:next w:val="1"/>
    <w:unhideWhenUsed/>
    <w:qFormat/>
    <w:uiPriority w:val="99"/>
    <w:pPr>
      <w:ind w:left="420" w:leftChars="200"/>
    </w:pPr>
  </w:style>
  <w:style w:type="paragraph" w:styleId="4">
    <w:name w:val="Body Text"/>
    <w:basedOn w:val="1"/>
    <w:next w:val="1"/>
    <w:qFormat/>
    <w:uiPriority w:val="0"/>
    <w:pPr>
      <w:adjustRightInd w:val="0"/>
      <w:spacing w:after="120" w:line="312" w:lineRule="atLeast"/>
      <w:textAlignment w:val="baseline"/>
    </w:pPr>
    <w:rPr>
      <w:kern w:val="0"/>
    </w:rPr>
  </w:style>
  <w:style w:type="paragraph" w:styleId="5">
    <w:name w:val="Body Text Indent"/>
    <w:basedOn w:val="1"/>
    <w:link w:val="21"/>
    <w:qFormat/>
    <w:uiPriority w:val="99"/>
    <w:pPr>
      <w:ind w:firstLine="600" w:firstLineChars="200"/>
    </w:pPr>
    <w:rPr>
      <w:rFonts w:eastAsia="仿宋_GB2312"/>
      <w:sz w:val="24"/>
      <w:szCs w:val="24"/>
    </w:rPr>
  </w:style>
  <w:style w:type="paragraph" w:styleId="6">
    <w:name w:val="Balloon Text"/>
    <w:basedOn w:val="1"/>
    <w:link w:val="24"/>
    <w:semiHidden/>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4"/>
    <w:next w:val="10"/>
    <w:qFormat/>
    <w:uiPriority w:val="0"/>
    <w:pPr>
      <w:spacing w:line="240" w:lineRule="auto"/>
      <w:ind w:firstLine="420" w:firstLineChars="100"/>
      <w:jc w:val="both"/>
    </w:pPr>
    <w:rPr>
      <w:rFonts w:ascii="Calibri" w:hAnsi="Calibri" w:cs="Times New Roman"/>
      <w:sz w:val="21"/>
      <w:szCs w:val="24"/>
    </w:rPr>
  </w:style>
  <w:style w:type="paragraph" w:styleId="10">
    <w:name w:val="Body Text First Indent 2"/>
    <w:qFormat/>
    <w:uiPriority w:val="0"/>
    <w:pPr>
      <w:widowControl w:val="0"/>
      <w:adjustRightInd w:val="0"/>
      <w:snapToGrid w:val="0"/>
      <w:spacing w:line="360" w:lineRule="auto"/>
      <w:ind w:left="0" w:leftChars="0" w:firstLine="420" w:firstLineChars="200"/>
      <w:jc w:val="both"/>
    </w:pPr>
    <w:rPr>
      <w:rFonts w:ascii="等线" w:hAnsi="等线" w:eastAsia="宋体" w:cs="Times New Roman"/>
      <w:kern w:val="2"/>
      <w:sz w:val="24"/>
      <w:szCs w:val="24"/>
      <w:lang w:val="en-US" w:eastAsia="zh-CN" w:bidi="ar-SA"/>
    </w:rPr>
  </w:style>
  <w:style w:type="table" w:styleId="12">
    <w:name w:val="Table Grid"/>
    <w:basedOn w:val="11"/>
    <w:semiHidden/>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99"/>
  </w:style>
  <w:style w:type="paragraph" w:customStyle="1" w:styleId="15">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character" w:customStyle="1" w:styleId="16">
    <w:name w:val="页脚 Char"/>
    <w:link w:val="7"/>
    <w:qFormat/>
    <w:locked/>
    <w:uiPriority w:val="99"/>
    <w:rPr>
      <w:kern w:val="2"/>
      <w:sz w:val="18"/>
      <w:szCs w:val="18"/>
    </w:rPr>
  </w:style>
  <w:style w:type="character" w:customStyle="1" w:styleId="17">
    <w:name w:val="页眉 Char"/>
    <w:link w:val="8"/>
    <w:semiHidden/>
    <w:qFormat/>
    <w:locked/>
    <w:uiPriority w:val="99"/>
    <w:rPr>
      <w:kern w:val="2"/>
      <w:sz w:val="18"/>
      <w:szCs w:val="18"/>
    </w:rPr>
  </w:style>
  <w:style w:type="character" w:customStyle="1" w:styleId="18">
    <w:name w:val="Footer Char1"/>
    <w:semiHidden/>
    <w:qFormat/>
    <w:uiPriority w:val="99"/>
    <w:rPr>
      <w:sz w:val="18"/>
      <w:szCs w:val="18"/>
    </w:rPr>
  </w:style>
  <w:style w:type="character" w:customStyle="1" w:styleId="19">
    <w:name w:val="Header Char1"/>
    <w:semiHidden/>
    <w:qFormat/>
    <w:uiPriority w:val="99"/>
    <w:rPr>
      <w:sz w:val="18"/>
      <w:szCs w:val="18"/>
    </w:rPr>
  </w:style>
  <w:style w:type="paragraph" w:customStyle="1" w:styleId="20">
    <w:name w:val="_Style 67"/>
    <w:basedOn w:val="1"/>
    <w:next w:val="1"/>
    <w:qFormat/>
    <w:uiPriority w:val="99"/>
    <w:pPr>
      <w:widowControl/>
      <w:spacing w:line="360" w:lineRule="auto"/>
      <w:ind w:firstLine="420" w:firstLineChars="200"/>
      <w:jc w:val="left"/>
    </w:pPr>
    <w:rPr>
      <w:rFonts w:ascii="Calibri" w:hAnsi="Calibri" w:eastAsia="微软雅黑" w:cs="Calibri"/>
      <w:sz w:val="24"/>
      <w:szCs w:val="24"/>
    </w:rPr>
  </w:style>
  <w:style w:type="character" w:customStyle="1" w:styleId="21">
    <w:name w:val="正文文本缩进 Char"/>
    <w:link w:val="5"/>
    <w:qFormat/>
    <w:locked/>
    <w:uiPriority w:val="99"/>
    <w:rPr>
      <w:rFonts w:eastAsia="仿宋_GB2312"/>
      <w:kern w:val="2"/>
      <w:sz w:val="24"/>
      <w:szCs w:val="24"/>
    </w:rPr>
  </w:style>
  <w:style w:type="character" w:customStyle="1" w:styleId="22">
    <w:name w:val="Body Text Indent Char1"/>
    <w:semiHidden/>
    <w:qFormat/>
    <w:uiPriority w:val="99"/>
    <w:rPr>
      <w:szCs w:val="21"/>
    </w:rPr>
  </w:style>
  <w:style w:type="character" w:customStyle="1" w:styleId="23">
    <w:name w:val="正文文本缩进 字符"/>
    <w:semiHidden/>
    <w:qFormat/>
    <w:uiPriority w:val="99"/>
    <w:rPr>
      <w:kern w:val="2"/>
      <w:sz w:val="24"/>
      <w:szCs w:val="24"/>
    </w:rPr>
  </w:style>
  <w:style w:type="character" w:customStyle="1" w:styleId="24">
    <w:name w:val="批注框文本 Char"/>
    <w:link w:val="6"/>
    <w:semiHidden/>
    <w:qFormat/>
    <w:locked/>
    <w:uiPriority w:val="99"/>
    <w:rPr>
      <w:kern w:val="2"/>
      <w:sz w:val="18"/>
      <w:szCs w:val="18"/>
    </w:rPr>
  </w:style>
  <w:style w:type="paragraph" w:customStyle="1" w:styleId="2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760</Words>
  <Characters>1108</Characters>
  <Lines>25</Lines>
  <Paragraphs>7</Paragraphs>
  <TotalTime>0</TotalTime>
  <ScaleCrop>false</ScaleCrop>
  <LinksUpToDate>false</LinksUpToDate>
  <CharactersWithSpaces>1139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2019-12-18T07:49:00Z</dcterms:created>
  <dc:creator>Legend User</dc:creator>
  <cp:lastModifiedBy>凉城安浮生</cp:lastModifiedBy>
  <cp:lastPrinted>2020-08-24T03:42:00Z</cp:lastPrinted>
  <dcterms:modified xsi:type="dcterms:W3CDTF">2023-08-03T06:15:29Z</dcterms:modified>
  <dc:title>××产品质量监督抽查实施细则</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921216C767AE4940A38AA985462CFF48</vt:lpwstr>
  </property>
</Properties>
</file>