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18368"/>
      <w:r>
        <w:rPr>
          <w:rFonts w:hint="eastAsia"/>
          <w:sz w:val="32"/>
          <w:szCs w:val="32"/>
          <w:lang w:eastAsia="zh-CN"/>
        </w:rPr>
        <w:t>【1</w:t>
      </w:r>
      <w:r>
        <w:rPr>
          <w:rFonts w:hint="eastAsia"/>
          <w:sz w:val="32"/>
          <w:szCs w:val="32"/>
          <w:lang w:val="en-US" w:eastAsia="zh-CN"/>
        </w:rPr>
        <w:t>8</w:t>
      </w:r>
      <w:r>
        <w:rPr>
          <w:rFonts w:hint="eastAsia"/>
          <w:sz w:val="32"/>
          <w:szCs w:val="32"/>
          <w:lang w:eastAsia="zh-CN"/>
        </w:rPr>
        <w:t>】非公司企业法人按《公司法》改制登记提交材料规范</w:t>
      </w:r>
      <w:bookmarkEnd w:id="0"/>
    </w:p>
    <w:p>
      <w:pPr>
        <w:rPr>
          <w:rFonts w:hint="eastAsia"/>
        </w:rPr>
      </w:pP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kern w:val="0"/>
          <w:sz w:val="24"/>
          <w:szCs w:val="24"/>
          <w:u w:val="single"/>
          <w:lang w:val="en-US" w:eastAsia="zh-CN" w:bidi="en-US"/>
        </w:rPr>
        <w:t>《非公司企业改制登记（备案）申请书》</w:t>
      </w:r>
      <w:r>
        <w:rPr>
          <w:rFonts w:hint="eastAsia" w:ascii="宋体" w:hAnsi="宋体" w:eastAsia="宋体" w:cs="宋体"/>
          <w:color w:val="auto"/>
          <w:kern w:val="2"/>
          <w:sz w:val="24"/>
          <w:szCs w:val="24"/>
          <w:shd w:val="clear" w:color="050000" w:fill="auto"/>
          <w:lang w:val="en-US" w:eastAsia="zh-CN" w:bidi="ar-SA"/>
        </w:rPr>
        <w:t>。</w:t>
      </w: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2</w:t>
      </w:r>
      <w:r>
        <w:rPr>
          <w:rFonts w:hint="eastAsia" w:ascii="宋体" w:hAnsi="宋体" w:eastAsia="宋体" w:cs="宋体"/>
          <w:color w:val="auto"/>
          <w:kern w:val="2"/>
          <w:sz w:val="24"/>
          <w:szCs w:val="24"/>
          <w:shd w:val="clear" w:color="050000" w:fill="auto"/>
          <w:lang w:val="en-US" w:eastAsia="zh-CN" w:bidi="ar-SA"/>
        </w:rPr>
        <w:t>.改制后的</w:t>
      </w:r>
      <w:r>
        <w:rPr>
          <w:rFonts w:hint="eastAsia" w:ascii="宋体" w:hAnsi="宋体" w:eastAsia="宋体" w:cs="宋体"/>
          <w:color w:val="0000FF"/>
          <w:kern w:val="0"/>
          <w:sz w:val="24"/>
          <w:szCs w:val="24"/>
          <w:u w:val="single"/>
          <w:lang w:val="en-US" w:eastAsia="zh-CN" w:bidi="en-US"/>
        </w:rPr>
        <w:t>公司章程</w:t>
      </w:r>
      <w:r>
        <w:rPr>
          <w:rFonts w:hint="eastAsia" w:ascii="宋体" w:hAnsi="宋体" w:eastAsia="宋体" w:cs="宋体"/>
          <w:color w:val="auto"/>
          <w:kern w:val="2"/>
          <w:sz w:val="24"/>
          <w:szCs w:val="24"/>
          <w:shd w:val="clear" w:color="050000" w:fill="auto"/>
          <w:lang w:val="en-US" w:eastAsia="zh-CN" w:bidi="ar-SA"/>
        </w:rPr>
        <w:t>。</w:t>
      </w: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◆改制后为有限责任公司的，由全体股东签署。</w:t>
      </w: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strike w:val="0"/>
          <w:dstrike w:val="0"/>
          <w:color w:val="auto"/>
          <w:kern w:val="2"/>
          <w:sz w:val="24"/>
          <w:szCs w:val="24"/>
          <w:shd w:val="clear" w:color="050000" w:fill="auto"/>
          <w:lang w:val="en-US" w:eastAsia="zh-CN" w:bidi="ar-SA"/>
        </w:rPr>
      </w:pPr>
      <w:r>
        <w:rPr>
          <w:rFonts w:hint="eastAsia" w:ascii="宋体" w:hAnsi="宋体" w:eastAsia="宋体" w:cs="宋体"/>
          <w:strike w:val="0"/>
          <w:dstrike w:val="0"/>
          <w:color w:val="auto"/>
          <w:kern w:val="2"/>
          <w:sz w:val="24"/>
          <w:szCs w:val="24"/>
          <w:shd w:val="clear" w:color="050000" w:fill="auto"/>
          <w:lang w:val="en-US" w:eastAsia="zh-CN" w:bidi="ar-SA"/>
        </w:rPr>
        <w:t>◆改制后为国有独资公司的，由国务院、地方人民政府或者其授权的本级人民政府国有资产监督管理机构加盖公章。</w:t>
      </w: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◆改制后为一人有限责任公司的，由股东签署。</w:t>
      </w:r>
    </w:p>
    <w:p>
      <w:pPr>
        <w:keepNext w:val="0"/>
        <w:keepLines w:val="0"/>
        <w:pageBreakBefore w:val="0"/>
        <w:widowControl/>
        <w:numPr>
          <w:ilvl w:val="0"/>
          <w:numId w:val="0"/>
        </w:numPr>
        <w:suppressAutoHyphens/>
        <w:kinsoku/>
        <w:wordWrap/>
        <w:topLinePunct w:val="0"/>
        <w:autoSpaceDE/>
        <w:autoSpaceDN/>
        <w:bidi w:val="0"/>
        <w:spacing w:line="560" w:lineRule="exact"/>
        <w:ind w:leftChars="0" w:firstLine="480" w:firstLineChars="200"/>
        <w:jc w:val="left"/>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◆改制后为股份有限公司的，由全体发起人签署。</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法律、行政法规和国务院决定规定企业按</w:t>
      </w:r>
      <w:r>
        <w:rPr>
          <w:rFonts w:hint="eastAsia" w:ascii="宋体" w:hAnsi="宋体" w:eastAsia="宋体" w:cs="宋体"/>
          <w:color w:val="0000FF"/>
          <w:kern w:val="0"/>
          <w:sz w:val="24"/>
          <w:szCs w:val="24"/>
          <w:u w:val="single"/>
          <w:lang w:val="en-US" w:eastAsia="zh-CN" w:bidi="en-US"/>
        </w:rPr>
        <w:t>《公司法》</w:t>
      </w:r>
      <w:r>
        <w:rPr>
          <w:rFonts w:hint="eastAsia"/>
          <w:lang w:val="en-US" w:eastAsia="zh-CN"/>
        </w:rPr>
        <w:t>改制必须报经批准的，提交有关的批准文件或者许可证件复印件。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改制后公司股东或发起人的主体资格文件或者自然人身份证件复印件。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◆股东或者发起人为企业的，提交营业执照复印件。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◆股东或者发起人为事业法人的，提交事业单位法人登记证书复印件。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◆股东或者发起人为社团法人的，提交社会团体法人登记证复印件。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◆股东或者发起人为民办非企业单位的，提交民办非企业单位登记证书复印件。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◆股东或者发起人为自然人的，提交身份证件复印件。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sz w:val="24"/>
          <w:szCs w:val="24"/>
        </w:rPr>
      </w:pPr>
      <w:r>
        <w:rPr>
          <w:rFonts w:hint="eastAsia" w:ascii="宋体" w:hAnsi="宋体" w:eastAsia="宋体" w:cs="宋体"/>
          <w:color w:val="auto"/>
          <w:sz w:val="24"/>
          <w:szCs w:val="24"/>
        </w:rPr>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w:t>
      </w:r>
      <w:r>
        <w:rPr>
          <w:rFonts w:hint="eastAsia" w:ascii="宋体" w:hAnsi="宋体" w:eastAsia="宋体" w:cs="宋体"/>
          <w:color w:val="0000FF"/>
          <w:kern w:val="0"/>
          <w:sz w:val="24"/>
          <w:szCs w:val="24"/>
          <w:u w:val="single"/>
          <w:lang w:val="en-US" w:eastAsia="zh-CN" w:bidi="en-US"/>
        </w:rPr>
        <w:t>国际条约</w:t>
      </w:r>
      <w:r>
        <w:rPr>
          <w:rFonts w:hint="eastAsia" w:ascii="宋体" w:hAnsi="宋体" w:eastAsia="宋体" w:cs="宋体"/>
          <w:color w:val="auto"/>
          <w:sz w:val="24"/>
          <w:szCs w:val="24"/>
        </w:rPr>
        <w:t>对认证另有规定的除外。外国自然人来华投资设立企</w:t>
      </w:r>
      <w:r>
        <w:rPr>
          <w:rFonts w:hint="eastAsia" w:ascii="宋体" w:hAnsi="宋体" w:eastAsia="宋体" w:cs="宋体"/>
          <w:sz w:val="24"/>
          <w:szCs w:val="24"/>
        </w:rPr>
        <w:t>业，提交的身份证明文件为新版或现版永居证的，无需办理公证认证，现版永居证在有效期内可继续使用。</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外国投资者的所属国家或地区签署《取消外国公文书认证要求的公约》的，其主体资格文件或身份证明应当经所在国家公证机关公证并由所在国主管机关签发附加证明书，无需经中国驻该国使（领）馆认证。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◆其他股东或者发起人提交有关法律法规规定的资格证明。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9</w:t>
      </w:r>
      <w:r>
        <w:rPr>
          <w:rFonts w:hint="default"/>
          <w:lang w:val="en-US" w:eastAsia="zh-CN"/>
        </w:rPr>
        <w:t>.</w:t>
      </w:r>
      <w:r>
        <w:rPr>
          <w:rFonts w:hint="eastAsia"/>
          <w:lang w:val="en-US" w:eastAsia="zh-CN"/>
        </w:rPr>
        <w:t>法定代表人、董事、监事、高级管理人员、联络员、指定代表/委托代理人身份证明。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0</w:t>
      </w:r>
      <w:r>
        <w:rPr>
          <w:rFonts w:hint="default"/>
          <w:lang w:val="en-US" w:eastAsia="zh-CN"/>
        </w:rPr>
        <w:t>.</w:t>
      </w:r>
      <w:r>
        <w:rPr>
          <w:rFonts w:hint="eastAsia"/>
          <w:lang w:val="en-US" w:eastAsia="zh-CN"/>
        </w:rPr>
        <w:t>改制同时涉及其他登记事项变更的，应当同时申请变更登记，按相应的提交材料规范提交相应的材料。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1</w:t>
      </w:r>
      <w:r>
        <w:rPr>
          <w:rFonts w:hint="default"/>
          <w:lang w:val="en-US" w:eastAsia="zh-CN"/>
        </w:rPr>
        <w:t>.</w:t>
      </w:r>
      <w:r>
        <w:rPr>
          <w:rFonts w:hint="eastAsia"/>
          <w:lang w:val="en-US" w:eastAsia="zh-CN"/>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2</w:t>
      </w:r>
      <w:r>
        <w:rPr>
          <w:rFonts w:hint="default"/>
          <w:lang w:val="en-US" w:eastAsia="zh-CN"/>
        </w:rPr>
        <w:t>.</w:t>
      </w:r>
      <w:r>
        <w:rPr>
          <w:rFonts w:hint="eastAsia"/>
          <w:lang w:val="en-US" w:eastAsia="zh-CN"/>
        </w:rPr>
        <w:t>企业法人的出资人（主管部门）出具的批准改制的文件。改制后公司变更法定代表人的，文件中应明确企业原任法定代表人的免职情况。</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3</w:t>
      </w:r>
      <w:r>
        <w:rPr>
          <w:rFonts w:hint="default"/>
          <w:lang w:val="en-US" w:eastAsia="zh-CN"/>
        </w:rPr>
        <w:t>.</w:t>
      </w:r>
      <w:r>
        <w:rPr>
          <w:rFonts w:hint="eastAsia"/>
          <w:lang w:val="en-US" w:eastAsia="zh-CN"/>
        </w:rPr>
        <w:t>职工（代表）大会材料（仅城镇集体所有制企业法人申请按</w:t>
      </w:r>
      <w:r>
        <w:rPr>
          <w:rFonts w:hint="eastAsia" w:ascii="宋体" w:hAnsi="宋体" w:eastAsia="宋体" w:cs="宋体"/>
          <w:color w:val="0000FF"/>
          <w:kern w:val="0"/>
          <w:sz w:val="24"/>
          <w:szCs w:val="24"/>
          <w:u w:val="single"/>
          <w:lang w:val="en-US" w:eastAsia="zh-CN" w:bidi="en-US"/>
        </w:rPr>
        <w:t>《公司法》</w:t>
      </w:r>
      <w:r>
        <w:rPr>
          <w:rFonts w:hint="eastAsia"/>
          <w:lang w:val="en-US" w:eastAsia="zh-CN"/>
        </w:rPr>
        <w:t>改制的提交）。</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◆城镇集体所有制企业法人应当提交集体企业的职工（代表）大会的批准决议。</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◆乡村集体所有制企业法人应当提交乡或者村的农民大会（农民代表会议）或者代表全体农民的集体经济组织的批准决议或批准文件复印件。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w:t>
      </w:r>
      <w:r>
        <w:rPr>
          <w:rFonts w:hint="eastAsia"/>
          <w:lang w:val="en-US" w:eastAsia="zh-CN"/>
        </w:rPr>
        <w:t>4</w:t>
      </w:r>
      <w:r>
        <w:rPr>
          <w:rFonts w:hint="default"/>
          <w:lang w:val="en-US" w:eastAsia="zh-CN"/>
        </w:rPr>
        <w:t>.</w:t>
      </w:r>
      <w:r>
        <w:rPr>
          <w:rFonts w:hint="eastAsia"/>
        </w:rPr>
        <w:t>改制后公司的决议或决定。</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◆改制为有限责任公司的提交股东会决议。</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◆改制为一人有限责任公司的提交股东决定。</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rPr>
        <w:t>◆改制为股份有限公司的提交</w:t>
      </w:r>
      <w:r>
        <w:rPr>
          <w:rFonts w:hint="eastAsia"/>
          <w:strike w:val="0"/>
          <w:dstrike w:val="0"/>
          <w:color w:val="auto"/>
        </w:rPr>
        <w:t>股东大会</w:t>
      </w:r>
      <w:r>
        <w:rPr>
          <w:rFonts w:hint="eastAsia"/>
        </w:rPr>
        <w:t>会议记录或者</w:t>
      </w:r>
      <w:r>
        <w:rPr>
          <w:rFonts w:hint="eastAsia"/>
          <w:strike w:val="0"/>
          <w:dstrike w:val="0"/>
          <w:color w:val="auto"/>
        </w:rPr>
        <w:t>创立大会</w:t>
      </w:r>
      <w:r>
        <w:rPr>
          <w:rFonts w:hint="eastAsia"/>
        </w:rPr>
        <w:t>会议记录。</w:t>
      </w:r>
    </w:p>
    <w:p>
      <w:pPr>
        <w:pStyle w:val="8"/>
        <w:keepNext w:val="0"/>
        <w:keepLines w:val="0"/>
        <w:pageBreakBefore w:val="0"/>
        <w:kinsoku/>
        <w:wordWrap/>
        <w:topLinePunct w:val="0"/>
        <w:autoSpaceDE/>
        <w:autoSpaceDN/>
        <w:bidi w:val="0"/>
        <w:spacing w:line="560" w:lineRule="exact"/>
        <w:ind w:leftChars="0"/>
        <w:textAlignment w:val="auto"/>
        <w:rPr>
          <w:rFonts w:hint="eastAsia"/>
          <w:strike w:val="0"/>
          <w:dstrike w:val="0"/>
          <w:color w:val="auto"/>
        </w:rPr>
      </w:pPr>
      <w:r>
        <w:rPr>
          <w:rFonts w:hint="eastAsia"/>
          <w:strike w:val="0"/>
          <w:dstrike w:val="0"/>
          <w:color w:val="auto"/>
        </w:rPr>
        <w:t>◆改制为国有独资公司的提交国务院、地方人民政府或者其授权的本级人民政府国有资产监督管理机构的批准文件复印件。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w:t>
      </w:r>
      <w:r>
        <w:rPr>
          <w:rFonts w:hint="eastAsia"/>
          <w:lang w:val="en-US" w:eastAsia="zh-CN"/>
        </w:rPr>
        <w:t>5</w:t>
      </w:r>
      <w:r>
        <w:rPr>
          <w:rFonts w:hint="default"/>
          <w:lang w:val="en-US" w:eastAsia="zh-CN"/>
        </w:rPr>
        <w:t>.</w:t>
      </w:r>
      <w:r>
        <w:rPr>
          <w:rFonts w:hint="eastAsia"/>
        </w:rPr>
        <w:t>法定代表人、董事、监事和高级管理人员的任职文件。</w:t>
      </w:r>
    </w:p>
    <w:p>
      <w:pPr>
        <w:pStyle w:val="8"/>
        <w:keepNext w:val="0"/>
        <w:keepLines w:val="0"/>
        <w:pageBreakBefore w:val="0"/>
        <w:kinsoku/>
        <w:wordWrap/>
        <w:topLinePunct w:val="0"/>
        <w:autoSpaceDE/>
        <w:autoSpaceDN/>
        <w:bidi w:val="0"/>
        <w:spacing w:line="560" w:lineRule="exact"/>
        <w:ind w:leftChars="0"/>
        <w:textAlignment w:val="auto"/>
        <w:rPr>
          <w:rFonts w:hint="eastAsia"/>
          <w:color w:val="FF0000"/>
        </w:rPr>
      </w:pPr>
      <w:r>
        <w:rPr>
          <w:rFonts w:hint="eastAsia"/>
        </w:rPr>
        <w:t>根据</w:t>
      </w:r>
      <w:r>
        <w:rPr>
          <w:rFonts w:hint="eastAsia" w:ascii="宋体" w:hAnsi="宋体" w:eastAsia="宋体" w:cs="宋体"/>
          <w:color w:val="0000FF"/>
          <w:kern w:val="0"/>
          <w:sz w:val="24"/>
          <w:szCs w:val="24"/>
          <w:u w:val="single"/>
          <w:lang w:val="en-US" w:eastAsia="en-US" w:bidi="en-US"/>
        </w:rPr>
        <w:t>《公司法》</w:t>
      </w:r>
      <w:r>
        <w:rPr>
          <w:rFonts w:hint="eastAsia"/>
        </w:rPr>
        <w:t>和公司章程的规定，</w:t>
      </w:r>
      <w:r>
        <w:rPr>
          <w:rFonts w:hint="eastAsia"/>
          <w:strike w:val="0"/>
          <w:dstrike w:val="0"/>
          <w:color w:val="auto"/>
        </w:rPr>
        <w:t>有限责任公司提交股东决定或股东会决议，发起设立的股份有限公司提交股东大会会议记录</w:t>
      </w:r>
      <w:r>
        <w:rPr>
          <w:rFonts w:hint="eastAsia"/>
          <w:strike w:val="0"/>
          <w:dstrike w:val="0"/>
          <w:color w:val="auto"/>
          <w:lang w:eastAsia="zh-CN"/>
        </w:rPr>
        <w:t>（</w:t>
      </w:r>
      <w:r>
        <w:rPr>
          <w:rFonts w:hint="eastAsia"/>
          <w:strike w:val="0"/>
          <w:dstrike w:val="0"/>
          <w:color w:val="auto"/>
        </w:rPr>
        <w:t>募集设立的股份有限公司提交创立大会会议记录</w:t>
      </w:r>
      <w:r>
        <w:rPr>
          <w:rFonts w:hint="eastAsia"/>
          <w:strike w:val="0"/>
          <w:dstrike w:val="0"/>
          <w:color w:val="auto"/>
          <w:lang w:eastAsia="zh-CN"/>
        </w:rPr>
        <w:t>）</w:t>
      </w:r>
      <w:r>
        <w:rPr>
          <w:rFonts w:hint="eastAsia"/>
          <w:strike w:val="0"/>
          <w:dstrike w:val="0"/>
          <w:color w:val="auto"/>
        </w:rPr>
        <w:t>。</w:t>
      </w:r>
      <w:r>
        <w:rPr>
          <w:rFonts w:hint="eastAsia"/>
        </w:rPr>
        <w:t>对</w:t>
      </w:r>
      <w:r>
        <w:rPr>
          <w:rFonts w:hint="eastAsia" w:ascii="宋体" w:hAnsi="宋体" w:eastAsia="宋体" w:cs="宋体"/>
          <w:color w:val="0000FF"/>
          <w:kern w:val="0"/>
          <w:sz w:val="24"/>
          <w:szCs w:val="24"/>
          <w:u w:val="single"/>
          <w:lang w:val="en-US" w:eastAsia="en-US" w:bidi="en-US"/>
        </w:rPr>
        <w:t>《公司法》</w:t>
      </w:r>
      <w:r>
        <w:rPr>
          <w:rFonts w:hint="eastAsia"/>
        </w:rPr>
        <w:t>和章程规定公司组织机构人员任职须经董事会、监事会、职工大会（职工代表大会）等形式产生的，还需提交董事签字的董事会决议、监事签字的监事会决议、职工（职工代表）签字的职工大会（职工代表大会）决议等相关材料。</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F4BCB"/>
    <w:rsid w:val="0F3F7243"/>
    <w:rsid w:val="1AAC5768"/>
    <w:rsid w:val="1B9A59C7"/>
    <w:rsid w:val="1DC8780F"/>
    <w:rsid w:val="2D9F6AE6"/>
    <w:rsid w:val="452117EC"/>
    <w:rsid w:val="55EF4BCB"/>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206558ADFBE8440DB22D69E76FC12BF5_11</vt:lpwstr>
  </property>
</Properties>
</file>