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sz w:val="32"/>
          <w:szCs w:val="32"/>
          <w:lang w:eastAsia="zh-CN"/>
        </w:rPr>
      </w:pPr>
      <w:bookmarkStart w:id="1" w:name="_GoBack"/>
      <w:bookmarkEnd w:id="1"/>
      <w:bookmarkStart w:id="0" w:name="_Toc28179"/>
      <w:r>
        <w:rPr>
          <w:rFonts w:hint="eastAsia"/>
          <w:sz w:val="32"/>
          <w:szCs w:val="32"/>
          <w:lang w:eastAsia="zh-CN"/>
        </w:rPr>
        <w:t>【</w:t>
      </w:r>
      <w:r>
        <w:rPr>
          <w:rFonts w:hint="eastAsia"/>
          <w:sz w:val="32"/>
          <w:szCs w:val="32"/>
          <w:lang w:val="en-US" w:eastAsia="zh-CN"/>
        </w:rPr>
        <w:t>48</w:t>
      </w:r>
      <w:r>
        <w:rPr>
          <w:rFonts w:hint="eastAsia"/>
          <w:sz w:val="32"/>
          <w:szCs w:val="32"/>
          <w:lang w:eastAsia="zh-CN"/>
        </w:rPr>
        <w:t>】市场主体迁移调档提交材料规范</w:t>
      </w:r>
      <w:bookmarkEnd w:id="0"/>
    </w:p>
    <w:p>
      <w:pPr>
        <w:rPr>
          <w:rFonts w:hint="eastAsia"/>
        </w:rPr>
      </w:pP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l.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《市场主体迁移申请书》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2.迁入地登记机关开具的准予迁入调档函（仅用于迁出地登记机关收取）。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1.根据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《海南自由贸易港市场主体登记管理条例》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规定，市场主体通过“海南市场主体登记平台（海南e登记</w:t>
      </w:r>
      <w:r>
        <w:rPr>
          <w:rFonts w:hint="eastAsia" w:ascii="宋体" w:hAnsi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2.0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）”申报登记申请的，登记机关不再受理纸质材料登记申请。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申请人通过全程电子化方式申请登记注册的，主体资格证明、身份证明、批准证书、章程等文件可通过全程电子化系统提交原件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复印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件，或通过登记业务系统设置的申请文书格式规范生成相关材料并使用。对填报的格式化信息，由登记平台自动审查；对申报的非格式化电子文件，由登记机关随机选派注册专员依法审查。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提交材料涉及签署，参照申请书中申请人的注释，未注明签署人的，自然人由本人签字，法人和其他组织由法定代表人、负责人或有权签字人签字，并加盖公章。涉及代签文书的，需提交授权人委托他人签字的授权委托书，授权委托书应为原件，且授权人应亲笔签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提交材料、公证认证文书为外文的，应对其内容进行准确的中文翻译，同时提交中文翻译件、外文原件两种文书，并注明“翻译准确”字样。翻译单位应在翻译件上加盖翻译单位公章（翻译专用章）或者附营业执照复印件等主体资格证明文件复印件，同时注明翻译人及联系方式。自然人的应在翻译件上签名，注明联系方式，并附翻译人员相应翻译资质复印件或者身份证明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申请人应当配合登记机关通过实名认证系统，采用人脸识别等方式对相关人员进行实名验证。因特殊原因，当事人无法通过实名认证系统核验身份信息的，可以提交经依法公证的自然人身份证明文件，或者由本人持身份证件到现场办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登记机关和其他政府部门已共享身份认证信息、清税信息、产权登记信息或电子证照等数据信息</w:t>
      </w:r>
      <w:r>
        <w:rPr>
          <w:rFonts w:hint="eastAsia" w:ascii="宋体" w:hAnsi="宋体" w:eastAsia="宋体" w:cs="宋体"/>
          <w:sz w:val="24"/>
          <w:szCs w:val="24"/>
        </w:rPr>
        <w:t>，且可以在线核验、存档的，无需申请人另行提交纸质材料。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050000" w:fill="auto"/>
          <w:lang w:val="en-US" w:eastAsia="zh-CN"/>
        </w:rPr>
        <w:t>7.涉及登记事项变更的，应当在迁入同时申请办理变更登记。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050000" w:fill="auto"/>
          <w:lang w:val="en-US" w:eastAsia="zh-CN"/>
        </w:rPr>
        <w:t>8.迁入地登记机关接收到登记管理档案后，为市场主体办理登记。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050000" w:fill="auto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.指定代表/委托代理人身份证明。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◆境内自然人提交居民身份证</w:t>
      </w:r>
      <w:r>
        <w:rPr>
          <w:rFonts w:hint="eastAsia" w:ascii="宋体" w:hAnsi="宋体" w:cs="宋体"/>
          <w:color w:val="auto"/>
          <w:sz w:val="24"/>
          <w:szCs w:val="24"/>
          <w:shd w:val="clear" w:color="050000" w:fill="auto"/>
          <w:lang w:val="en-US" w:eastAsia="zh-CN"/>
        </w:rPr>
        <w:t>复印件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◆外国（地区）自然人提交外国（地区）护照或中华人民共和国外国人永久居留身份证</w:t>
      </w:r>
      <w:r>
        <w:rPr>
          <w:rFonts w:hint="eastAsia" w:ascii="宋体" w:hAnsi="宋体" w:cs="宋体"/>
          <w:color w:val="auto"/>
          <w:sz w:val="24"/>
          <w:szCs w:val="24"/>
          <w:shd w:val="clear" w:color="050000" w:fill="auto"/>
          <w:lang w:val="en-US" w:eastAsia="zh-CN"/>
        </w:rPr>
        <w:t>复印件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◆港澳自然人提交当地永久性居民身份证、特别行政区护照或者内地公安部门颁发的港澳居民居住证、内地出入境管理部门颁发的往来内地通行证。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◆台湾自然人提交大陆公安部门颁发的台湾居民居住证、大陆出入境管理部门颁发的台湾居民往来大陆通行证。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050000" w:fill="auto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.营业执照复印件。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textAlignment w:val="auto"/>
        <w:rPr>
          <w:rFonts w:hint="eastAsia"/>
          <w:sz w:val="30"/>
          <w:szCs w:val="30"/>
          <w:lang w:eastAsia="zh-CN"/>
        </w:rPr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3C228C"/>
    <w:rsid w:val="0F3F7243"/>
    <w:rsid w:val="1AAC5768"/>
    <w:rsid w:val="1B9A59C7"/>
    <w:rsid w:val="1DC8780F"/>
    <w:rsid w:val="2D9F6AE6"/>
    <w:rsid w:val="452117EC"/>
    <w:rsid w:val="4F3C228C"/>
    <w:rsid w:val="7C9D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60" w:lineRule="exact"/>
      <w:ind w:left="0" w:leftChars="0" w:firstLine="602" w:firstLineChars="200"/>
      <w:jc w:val="left"/>
      <w:textAlignment w:val="auto"/>
    </w:pPr>
    <w:rPr>
      <w:rFonts w:ascii="宋体" w:hAnsi="宋体" w:eastAsia="宋体" w:cs="宋体"/>
      <w:color w:val="000000"/>
      <w:kern w:val="0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autoRedefine/>
    <w:qFormat/>
    <w:uiPriority w:val="0"/>
    <w:pPr>
      <w:spacing w:line="560" w:lineRule="exact"/>
      <w:outlineLvl w:val="0"/>
    </w:pPr>
    <w:rPr>
      <w:rFonts w:ascii="方正小标宋简体" w:hAnsi="方正小标宋简体" w:eastAsia="方正小标宋简体" w:cs="方正小标宋简体"/>
      <w:sz w:val="36"/>
      <w:szCs w:val="36"/>
    </w:rPr>
  </w:style>
  <w:style w:type="paragraph" w:styleId="4">
    <w:name w:val="heading 2"/>
    <w:basedOn w:val="1"/>
    <w:next w:val="1"/>
    <w:autoRedefine/>
    <w:semiHidden/>
    <w:unhideWhenUsed/>
    <w:qFormat/>
    <w:uiPriority w:val="0"/>
    <w:pPr>
      <w:spacing w:line="560" w:lineRule="exact"/>
      <w:outlineLvl w:val="1"/>
    </w:pPr>
    <w:rPr>
      <w:rFonts w:ascii="黑体" w:hAnsi="黑体" w:eastAsia="黑体" w:cs="黑体"/>
      <w:sz w:val="32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spacing w:line="560" w:lineRule="exact"/>
      <w:outlineLvl w:val="2"/>
    </w:pPr>
    <w:rPr>
      <w:rFonts w:ascii="黑体" w:hAnsi="黑体" w:eastAsia="黑体" w:cs="黑体"/>
      <w:sz w:val="30"/>
      <w:szCs w:val="3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autoRedefine/>
    <w:qFormat/>
    <w:uiPriority w:val="0"/>
    <w:rPr>
      <w:rFonts w:ascii="仿宋" w:hAnsi="仿宋" w:eastAsia="仿宋"/>
      <w:sz w:val="30"/>
      <w:szCs w:val="30"/>
    </w:rPr>
  </w:style>
  <w:style w:type="paragraph" w:customStyle="1" w:styleId="8">
    <w:name w:val="材料规范"/>
    <w:basedOn w:val="1"/>
    <w:uiPriority w:val="0"/>
    <w:pPr>
      <w:spacing w:line="560" w:lineRule="exact"/>
      <w:ind w:firstLine="480" w:firstLineChars="200"/>
      <w:jc w:val="left"/>
    </w:pPr>
    <w:rPr>
      <w:rFonts w:hint="eastAsia" w:ascii="宋体" w:hAnsi="宋体" w:eastAsia="宋体" w:cs="宋体"/>
      <w:color w:val="auto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2024-04-26T02:31:00Z</dcterms:created>
  <dc:creator>文档存本地丢失不负责</dc:creator>
  <cp:lastModifiedBy>文档存本地丢失不负责</cp:lastModifiedBy>
  <dcterms:modified xsi:type="dcterms:W3CDTF">2024-04-26T02:31:16Z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F50A89316AAB4CED94F5856C11CF907F_11</vt:lpwstr>
  </property>
</Properties>
</file>