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2023</w:t>
      </w:r>
      <w:r>
        <w:rPr>
          <w:rFonts w:hint="eastAsia"/>
          <w:sz w:val="52"/>
          <w:szCs w:val="52"/>
        </w:rPr>
        <w:t>年</w:t>
      </w:r>
      <w:r>
        <w:rPr>
          <w:rFonts w:hint="eastAsia"/>
          <w:sz w:val="52"/>
          <w:szCs w:val="52"/>
          <w:lang w:eastAsia="zh-CN"/>
        </w:rPr>
        <w:t>海口市药品不良反应</w:t>
      </w:r>
    </w:p>
    <w:p>
      <w:pPr>
        <w:jc w:val="center"/>
        <w:rPr>
          <w:sz w:val="52"/>
          <w:szCs w:val="52"/>
        </w:rPr>
      </w:pPr>
      <w:r>
        <w:rPr>
          <w:rFonts w:hint="eastAsia"/>
          <w:sz w:val="52"/>
          <w:szCs w:val="52"/>
          <w:lang w:eastAsia="zh-CN"/>
        </w:rPr>
        <w:t>监测中心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p>
    <w:p>
      <w:pPr>
        <w:jc w:val="both"/>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海口市药品不良反应监测中心</w:t>
      </w:r>
      <w:r>
        <w:rPr>
          <w:rFonts w:hint="eastAsia" w:ascii="黑体" w:hAnsi="黑体" w:eastAsia="黑体"/>
          <w:sz w:val="32"/>
          <w:szCs w:val="32"/>
        </w:rPr>
        <w:t>（单位）概况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海口市药品不良反应监测中心</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pacing w:val="-20"/>
          <w:sz w:val="32"/>
          <w:szCs w:val="32"/>
        </w:rPr>
      </w:pPr>
      <w:r>
        <w:rPr>
          <w:rFonts w:hint="eastAsia" w:ascii="黑体" w:hAnsi="黑体" w:eastAsia="黑体"/>
          <w:sz w:val="32"/>
          <w:szCs w:val="32"/>
        </w:rPr>
        <w:t xml:space="preserve">  </w:t>
      </w:r>
      <w:r>
        <w:rPr>
          <w:rFonts w:hint="eastAsia" w:ascii="黑体" w:hAnsi="黑体" w:eastAsia="黑体" w:cs="黑体"/>
          <w:spacing w:val="-20"/>
          <w:sz w:val="32"/>
          <w:szCs w:val="32"/>
          <w:lang w:eastAsia="zh-CN"/>
        </w:rPr>
        <w:t>海口市药品不良反应监测中心</w:t>
      </w:r>
      <w:r>
        <w:rPr>
          <w:rFonts w:hint="eastAsia" w:ascii="黑体" w:hAnsi="黑体" w:eastAsia="黑体" w:cs="黑体"/>
          <w:spacing w:val="-20"/>
          <w:sz w:val="32"/>
          <w:szCs w:val="32"/>
          <w:lang w:val="en-US" w:eastAsia="zh-CN"/>
        </w:rPr>
        <w:t>2023</w:t>
      </w:r>
      <w:r>
        <w:rPr>
          <w:rFonts w:hint="eastAsia" w:ascii="黑体" w:hAnsi="黑体" w:eastAsia="黑体"/>
          <w:spacing w:val="-20"/>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海口市药品不良反应监测中心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spacing w:line="360" w:lineRule="auto"/>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（一）承担本辖区内</w:t>
      </w:r>
      <w:r>
        <w:rPr>
          <w:rFonts w:hint="eastAsia" w:ascii="仿宋_GB2312" w:hAnsi="黑体" w:eastAsia="仿宋_GB2312" w:cs="仿宋_GB2312"/>
          <w:sz w:val="32"/>
          <w:szCs w:val="32"/>
          <w:lang w:eastAsia="zh-CN"/>
        </w:rPr>
        <w:t>药品、医疗器械、化妆品（以下简称</w:t>
      </w:r>
      <w:r>
        <w:rPr>
          <w:rFonts w:hint="eastAsia" w:ascii="仿宋_GB2312" w:hAnsi="黑体" w:eastAsia="仿宋_GB2312" w:cs="仿宋_GB2312"/>
          <w:sz w:val="32"/>
          <w:szCs w:val="32"/>
        </w:rPr>
        <w:t>“两品一械”</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和药物滥用等监测的工作职能，负责对全市“两品一械”不良反应/事件和药物滥用监测资料和报告进行收集、核实、评价、反馈和上报等相关工作。</w:t>
      </w:r>
    </w:p>
    <w:p>
      <w:pPr>
        <w:pStyle w:val="6"/>
        <w:numPr>
          <w:ilvl w:val="-1"/>
          <w:numId w:val="0"/>
        </w:numPr>
        <w:spacing w:line="360" w:lineRule="auto"/>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（二）承担辖区内严重“两品一械”不良反应/事件的调查工作，协助有关部门开展群体“两品一械”不良反应/事件调查，并进行分析和评价。</w:t>
      </w:r>
    </w:p>
    <w:p>
      <w:pPr>
        <w:pStyle w:val="6"/>
        <w:numPr>
          <w:ilvl w:val="-1"/>
          <w:numId w:val="0"/>
        </w:numPr>
        <w:spacing w:line="360" w:lineRule="auto"/>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（三）负责辖区内“两品一械” 不良反应/事件和药物滥用监测工作的宣传、教育和培训工作。</w:t>
      </w:r>
    </w:p>
    <w:p>
      <w:pPr>
        <w:pStyle w:val="6"/>
        <w:numPr>
          <w:ilvl w:val="-1"/>
          <w:numId w:val="0"/>
        </w:numPr>
        <w:spacing w:line="360" w:lineRule="auto"/>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（四）承担上级交办的其他事项。</w:t>
      </w:r>
    </w:p>
    <w:p>
      <w:pPr>
        <w:pStyle w:val="6"/>
        <w:numPr>
          <w:ilvl w:val="0"/>
          <w:numId w:val="0"/>
        </w:numPr>
        <w:ind w:left="420" w:leftChars="200" w:firstLine="0" w:firstLineChars="0"/>
        <w:jc w:val="left"/>
        <w:rPr>
          <w:rFonts w:ascii="仿宋_GB2312" w:hAnsi="黑体" w:eastAsia="仿宋_GB2312" w:cs="仿宋_GB2312"/>
          <w:sz w:val="32"/>
          <w:szCs w:val="32"/>
        </w:rPr>
      </w:pPr>
    </w:p>
    <w:p>
      <w:pPr>
        <w:numPr>
          <w:ilvl w:val="0"/>
          <w:numId w:val="5"/>
        </w:numPr>
        <w:ind w:firstLine="640" w:firstLineChars="200"/>
        <w:jc w:val="center"/>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黑体"/>
          <w:kern w:val="2"/>
          <w:sz w:val="32"/>
          <w:szCs w:val="32"/>
          <w:lang w:val="en-US" w:eastAsia="zh-CN" w:bidi="ar-SA"/>
        </w:rPr>
        <w:t>海口市药品不良反应监测中心2023年（单位）预算表</w:t>
      </w:r>
    </w:p>
    <w:p>
      <w:pPr>
        <w:numPr>
          <w:ilvl w:val="0"/>
          <w:numId w:val="0"/>
        </w:numPr>
        <w:jc w:val="both"/>
        <w:rPr>
          <w:rFonts w:hint="eastAsia" w:ascii="黑体" w:hAnsi="黑体" w:eastAsia="黑体" w:cs="黑体"/>
          <w:kern w:val="2"/>
          <w:sz w:val="32"/>
          <w:szCs w:val="32"/>
          <w:lang w:val="en-US" w:eastAsia="zh-CN" w:bidi="ar-SA"/>
        </w:rPr>
      </w:pPr>
    </w:p>
    <w:p>
      <w:pPr>
        <w:numPr>
          <w:ilvl w:val="0"/>
          <w:numId w:val="0"/>
        </w:numPr>
        <w:ind w:firstLine="1928" w:firstLineChars="600"/>
        <w:jc w:val="both"/>
        <w:rPr>
          <w:rFonts w:hint="eastAsia" w:ascii="黑体" w:hAnsi="黑体" w:eastAsia="黑体"/>
          <w:sz w:val="32"/>
          <w:szCs w:val="32"/>
        </w:rPr>
      </w:pPr>
      <w:r>
        <w:rPr>
          <w:rFonts w:hint="eastAsia" w:ascii="仿宋_GB2312" w:hAnsi="黑体" w:eastAsia="仿宋_GB2312"/>
          <w:b/>
          <w:sz w:val="32"/>
          <w:szCs w:val="32"/>
        </w:rPr>
        <w:t>（此部分内容即为部门或单位预算公开表）</w:t>
      </w:r>
    </w:p>
    <w:p>
      <w:pPr>
        <w:numPr>
          <w:ilvl w:val="-1"/>
          <w:numId w:val="0"/>
        </w:numPr>
        <w:ind w:firstLine="0" w:firstLineChars="0"/>
        <w:rPr>
          <w:rFonts w:hint="eastAsia" w:ascii="黑体" w:hAnsi="黑体" w:eastAsia="黑体"/>
          <w:sz w:val="32"/>
          <w:szCs w:val="32"/>
        </w:rPr>
      </w:pPr>
    </w:p>
    <w:p>
      <w:pPr>
        <w:numPr>
          <w:ilvl w:val="-1"/>
          <w:numId w:val="0"/>
        </w:numPr>
        <w:ind w:firstLine="0" w:firstLineChars="0"/>
        <w:rPr>
          <w:rFonts w:hint="eastAsia"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海口市药品不良反应监测中心</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lang w:val="en-US" w:eastAsia="zh-CN"/>
        </w:rPr>
        <w:t>海口市药品不良反应监测中心2023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358.05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358.05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358.05</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358.05</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258.25</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41.89</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35.41万元、住房保障支出22.50万元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358.05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11.79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sz w:val="32"/>
          <w:szCs w:val="32"/>
          <w:lang w:val="en-US" w:eastAsia="zh-CN"/>
        </w:rPr>
        <w:t>258.25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72.13</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41.89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11.70</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35.41万元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9.89</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；住房保障支出22.50万元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6.28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市场监督管理</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药品事务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开展“两品一械”</w:t>
      </w:r>
      <w:r>
        <w:rPr>
          <w:rFonts w:hint="eastAsia" w:ascii="仿宋_GB2312" w:hAnsi="黑体" w:eastAsia="仿宋_GB2312" w:cs="仿宋_GB2312"/>
          <w:color w:val="auto"/>
          <w:sz w:val="32"/>
          <w:szCs w:val="32"/>
        </w:rPr>
        <w:t>和药物滥用</w:t>
      </w:r>
      <w:r>
        <w:rPr>
          <w:rFonts w:hint="eastAsia" w:ascii="仿宋_GB2312" w:hAnsi="黑体" w:eastAsia="仿宋_GB2312"/>
          <w:sz w:val="32"/>
          <w:szCs w:val="32"/>
          <w:lang w:val="en-US" w:eastAsia="zh-CN"/>
        </w:rPr>
        <w:t>监测工作。</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市场监督管理</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243.25</w:t>
      </w:r>
      <w:r>
        <w:rPr>
          <w:rFonts w:hint="eastAsia" w:ascii="仿宋_GB2312" w:hAnsi="黑体" w:eastAsia="仿宋_GB2312"/>
          <w:sz w:val="32"/>
          <w:szCs w:val="32"/>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8.91</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主要减少培训费、差旅费等。</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社会保障和就业支出（类）行政事业单位养老支出（款）机关事业单位基本养老保险缴费支出</w:t>
      </w:r>
      <w:r>
        <w:rPr>
          <w:rFonts w:hint="eastAsia" w:ascii="仿宋_GB2312" w:hAnsi="黑体" w:eastAsia="仿宋_GB2312"/>
          <w:sz w:val="32"/>
          <w:szCs w:val="32"/>
          <w:lang w:eastAsia="zh-CN"/>
        </w:rPr>
        <w:t>（项）</w:t>
      </w:r>
      <w:r>
        <w:rPr>
          <w:rFonts w:hint="eastAsia" w:ascii="仿宋_GB2312" w:hAnsi="黑体" w:eastAsia="仿宋_GB2312"/>
          <w:sz w:val="32"/>
          <w:szCs w:val="32"/>
          <w:lang w:val="en-US" w:eastAsia="zh-CN"/>
        </w:rPr>
        <w:t>2023年预算数为27.93万元，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2.95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rPr>
        <w:t>在职人员</w:t>
      </w:r>
      <w:r>
        <w:rPr>
          <w:rFonts w:hint="eastAsia" w:ascii="仿宋_GB2312" w:hAnsi="黑体" w:eastAsia="仿宋_GB2312"/>
          <w:color w:val="auto"/>
          <w:sz w:val="32"/>
          <w:szCs w:val="32"/>
          <w:lang w:eastAsia="zh-CN"/>
        </w:rPr>
        <w:t>辞职，</w:t>
      </w:r>
      <w:r>
        <w:rPr>
          <w:rFonts w:hint="eastAsia" w:ascii="仿宋_GB2312" w:hAnsi="黑体" w:eastAsia="仿宋_GB2312"/>
          <w:color w:val="auto"/>
          <w:sz w:val="32"/>
          <w:szCs w:val="32"/>
        </w:rPr>
        <w:t>人员减少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社会保障和就业支出（类）行政事业单位养老支出（款）</w:t>
      </w:r>
      <w:r>
        <w:rPr>
          <w:rFonts w:hint="eastAsia" w:ascii="仿宋_GB2312" w:hAnsi="黑体" w:eastAsia="仿宋_GB2312"/>
          <w:sz w:val="32"/>
          <w:szCs w:val="32"/>
          <w:lang w:eastAsia="zh-CN"/>
        </w:rPr>
        <w:t>机关事业单位职业年金缴费支出（项）</w:t>
      </w:r>
      <w:r>
        <w:rPr>
          <w:rFonts w:hint="eastAsia" w:ascii="仿宋_GB2312" w:hAnsi="黑体" w:eastAsia="仿宋_GB2312"/>
          <w:sz w:val="32"/>
          <w:szCs w:val="32"/>
          <w:lang w:val="en-US" w:eastAsia="zh-CN"/>
        </w:rPr>
        <w:t>2023年预算数为13.96万元，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13.96</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，主要是预算项目增加。</w:t>
      </w:r>
    </w:p>
    <w:p>
      <w:pPr>
        <w:ind w:firstLine="640" w:firstLineChars="200"/>
        <w:rPr>
          <w:rFonts w:hint="eastAsia" w:ascii="仿宋_GB2312" w:hAnsi="黑体" w:eastAsia="仿宋_GB2312"/>
          <w:b/>
          <w:bCs/>
          <w:color w:val="auto"/>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卫生健康支出（类）行政事业单位医疗（款）</w:t>
      </w:r>
      <w:r>
        <w:rPr>
          <w:rFonts w:hint="eastAsia" w:ascii="仿宋_GB2312" w:hAnsi="黑体" w:eastAsia="仿宋_GB2312"/>
          <w:sz w:val="32"/>
          <w:szCs w:val="32"/>
          <w:lang w:eastAsia="zh-CN"/>
        </w:rPr>
        <w:t>事业</w:t>
      </w:r>
      <w:r>
        <w:rPr>
          <w:rFonts w:hint="eastAsia" w:ascii="仿宋_GB2312" w:hAnsi="黑体" w:eastAsia="仿宋_GB2312"/>
          <w:sz w:val="32"/>
          <w:szCs w:val="32"/>
        </w:rPr>
        <w:t>单位医疗（项）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0.86</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主要是</w:t>
      </w:r>
      <w:r>
        <w:rPr>
          <w:rFonts w:hint="eastAsia" w:ascii="仿宋_GB2312" w:hAnsi="黑体" w:eastAsia="仿宋_GB2312"/>
          <w:color w:val="auto"/>
          <w:sz w:val="32"/>
          <w:szCs w:val="32"/>
        </w:rPr>
        <w:t>在职人员</w:t>
      </w:r>
      <w:r>
        <w:rPr>
          <w:rFonts w:hint="eastAsia" w:ascii="仿宋_GB2312" w:hAnsi="黑体" w:eastAsia="仿宋_GB2312"/>
          <w:color w:val="auto"/>
          <w:sz w:val="32"/>
          <w:szCs w:val="32"/>
          <w:lang w:eastAsia="zh-CN"/>
        </w:rPr>
        <w:t>辞职，</w:t>
      </w:r>
      <w:r>
        <w:rPr>
          <w:rFonts w:hint="eastAsia" w:ascii="仿宋_GB2312" w:hAnsi="黑体" w:eastAsia="仿宋_GB2312"/>
          <w:color w:val="auto"/>
          <w:sz w:val="32"/>
          <w:szCs w:val="32"/>
        </w:rPr>
        <w:t>人员减少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卫生健康支出（类）行政事业单位医疗（款）其他行政事业单位医疗支出（项）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19.87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5.41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，主要是预算项目调整。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住房保障支出（类）住房改革支出（款）住房公积金（项）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22.50</w:t>
      </w:r>
      <w:r>
        <w:rPr>
          <w:rFonts w:hint="eastAsia" w:ascii="仿宋_GB2312" w:hAnsi="黑体" w:eastAsia="仿宋_GB2312"/>
          <w:sz w:val="32"/>
          <w:szCs w:val="32"/>
        </w:rPr>
        <w:t>万元，与上年预算数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5.14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住房公积金基数计算公式增加工资项。</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328.05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300.22</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绩效工资、机关事业单位基本养老保险缴费、职业年金缴费</w:t>
      </w:r>
      <w:r>
        <w:rPr>
          <w:rFonts w:hint="eastAsia" w:ascii="仿宋_GB2312" w:hAnsi="黑体" w:eastAsia="仿宋_GB2312"/>
          <w:sz w:val="32"/>
          <w:szCs w:val="32"/>
        </w:rPr>
        <w:t>、</w:t>
      </w:r>
      <w:r>
        <w:rPr>
          <w:rFonts w:hint="eastAsia" w:ascii="仿宋_GB2312" w:hAnsi="黑体" w:eastAsia="仿宋_GB2312"/>
          <w:sz w:val="32"/>
          <w:szCs w:val="32"/>
          <w:lang w:eastAsia="zh-CN"/>
        </w:rPr>
        <w:t>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住房公积金、医疗费、邮电费、奖励金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27.83</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印刷费、手续费、</w:t>
      </w:r>
      <w:r>
        <w:rPr>
          <w:rFonts w:hint="eastAsia" w:ascii="仿宋_GB2312" w:hAnsi="黑体" w:eastAsia="仿宋_GB2312"/>
          <w:sz w:val="32"/>
          <w:szCs w:val="32"/>
        </w:rPr>
        <w:t>水费、电费、</w:t>
      </w:r>
      <w:r>
        <w:rPr>
          <w:rFonts w:hint="eastAsia" w:ascii="仿宋_GB2312" w:hAnsi="黑体" w:eastAsia="仿宋_GB2312"/>
          <w:sz w:val="32"/>
          <w:szCs w:val="32"/>
          <w:lang w:eastAsia="zh-CN"/>
        </w:rPr>
        <w:t>邮电</w:t>
      </w:r>
      <w:r>
        <w:rPr>
          <w:rFonts w:hint="eastAsia" w:ascii="仿宋_GB2312" w:hAnsi="黑体" w:eastAsia="仿宋_GB2312"/>
          <w:sz w:val="32"/>
          <w:szCs w:val="32"/>
        </w:rPr>
        <w:t>费、</w:t>
      </w:r>
      <w:r>
        <w:rPr>
          <w:rFonts w:hint="eastAsia" w:ascii="仿宋_GB2312" w:hAnsi="黑体" w:eastAsia="仿宋_GB2312"/>
          <w:sz w:val="32"/>
          <w:szCs w:val="32"/>
          <w:lang w:eastAsia="zh-CN"/>
        </w:rPr>
        <w:t>物业管理费、维修（护）费、租赁费、专业材料费、差旅费、工会经费、其他商品和服务支出、生活补助</w:t>
      </w:r>
      <w:r>
        <w:rPr>
          <w:rFonts w:hint="eastAsia" w:ascii="仿宋_GB2312" w:hAnsi="黑体" w:eastAsia="仿宋_GB2312"/>
          <w:sz w:val="32"/>
          <w:szCs w:val="32"/>
        </w:rPr>
        <w:t>。</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w:t>
      </w:r>
      <w:r>
        <w:rPr>
          <w:rFonts w:hint="eastAsia" w:ascii="仿宋_GB2312" w:hAnsi="黑体" w:eastAsia="仿宋_GB2312"/>
          <w:sz w:val="32"/>
          <w:szCs w:val="32"/>
          <w:lang w:eastAsia="zh-CN"/>
        </w:rPr>
        <w:t>药品不良反应监测中心</w:t>
      </w:r>
      <w:r>
        <w:rPr>
          <w:rFonts w:hint="eastAsia" w:ascii="仿宋_GB2312" w:hAnsi="黑体" w:eastAsia="仿宋_GB2312"/>
          <w:sz w:val="32"/>
          <w:szCs w:val="32"/>
        </w:rPr>
        <w:t>（单位）202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w:t>
      </w:r>
      <w:r>
        <w:rPr>
          <w:rFonts w:hint="eastAsia" w:ascii="仿宋_GB2312" w:hAnsi="黑体" w:eastAsia="仿宋_GB2312"/>
          <w:sz w:val="32"/>
          <w:szCs w:val="32"/>
          <w:lang w:eastAsia="zh-CN"/>
        </w:rPr>
        <w:t>药品不良反应监测中心</w:t>
      </w:r>
      <w:r>
        <w:rPr>
          <w:rFonts w:hint="eastAsia" w:ascii="仿宋_GB2312" w:hAnsi="黑体" w:eastAsia="仿宋_GB2312"/>
          <w:sz w:val="32"/>
          <w:szCs w:val="32"/>
        </w:rPr>
        <w:t>（单位）202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numPr>
          <w:ilvl w:val="-1"/>
          <w:numId w:val="0"/>
        </w:numPr>
        <w:ind w:firstLine="640" w:firstLineChars="200"/>
        <w:rPr>
          <w:rFonts w:hint="eastAsia" w:ascii="黑体" w:hAnsi="黑体" w:eastAsia="仿宋_GB2312" w:cs="Times New Roman"/>
          <w:sz w:val="32"/>
          <w:shd w:val="clear" w:color="auto" w:fill="FFFFFF"/>
          <w:lang w:val="en-US" w:eastAsia="zh-CN"/>
        </w:rPr>
      </w:pPr>
      <w:bookmarkStart w:id="0" w:name="_GoBack"/>
      <w:bookmarkEnd w:id="0"/>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药品不良反应监测中心</w:t>
      </w:r>
      <w:r>
        <w:rPr>
          <w:rFonts w:hint="eastAsia" w:ascii="仿宋_GB2312" w:hAnsi="黑体" w:eastAsia="仿宋_GB2312"/>
          <w:sz w:val="32"/>
          <w:szCs w:val="32"/>
        </w:rPr>
        <w:t>（单位）202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政府性基金预算当年拨款0万元。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政府性基金预算当年支出0万元。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海口市药品不良反应监测中心（单位）</w:t>
      </w:r>
      <w:r>
        <w:rPr>
          <w:rFonts w:hint="eastAsia" w:ascii="仿宋_GB2312" w:hAnsi="黑体" w:eastAsia="仿宋_GB2312" w:cs="仿宋_GB2312"/>
          <w:sz w:val="32"/>
          <w:szCs w:val="32"/>
        </w:rPr>
        <w:t>所有收入和支出均纳入部门预算管理。收入</w:t>
      </w:r>
      <w:r>
        <w:rPr>
          <w:rFonts w:hint="eastAsia" w:ascii="仿宋_GB2312" w:hAnsi="黑体" w:eastAsia="仿宋_GB2312" w:cs="仿宋_GB2312"/>
          <w:sz w:val="32"/>
          <w:szCs w:val="32"/>
          <w:lang w:eastAsia="zh-CN"/>
        </w:rPr>
        <w:t>为</w:t>
      </w:r>
      <w:r>
        <w:rPr>
          <w:rFonts w:hint="eastAsia" w:ascii="仿宋_GB2312" w:hAnsi="黑体" w:eastAsia="仿宋_GB2312" w:cs="仿宋_GB2312"/>
          <w:sz w:val="32"/>
          <w:szCs w:val="32"/>
        </w:rPr>
        <w:t>：一般公共预算收入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358.05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358.05</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358.05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11.79</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，主要是人员经费增加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358.05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328.05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91.62</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8.38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11.79</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，主要是人员经费增加</w:t>
      </w:r>
      <w:r>
        <w:rPr>
          <w:rFonts w:hint="eastAsia" w:ascii="仿宋_GB2312" w:hAnsi="黑体" w:eastAsia="仿宋_GB2312"/>
          <w:sz w:val="32"/>
          <w:szCs w:val="32"/>
        </w:rPr>
        <w:t>。</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default" w:ascii="黑体" w:hAnsi="黑体" w:eastAsia="黑体" w:cs="Times New Roman"/>
          <w:sz w:val="32"/>
          <w:shd w:val="clear" w:color="auto" w:fill="FFFFFF"/>
          <w:lang w:val="en-US" w:eastAsia="zh-CN"/>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海口市药品不良反应监测中心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海口市药品不良反应监测中心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黑体"/>
          <w:sz w:val="32"/>
          <w:szCs w:val="32"/>
        </w:rPr>
        <w:t>截至</w:t>
      </w:r>
      <w:r>
        <w:rPr>
          <w:rFonts w:hint="eastAsia" w:ascii="仿宋_GB2312" w:hAnsi="黑体" w:eastAsia="仿宋_GB2312" w:cs="黑体"/>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海口市药品不良反应监测中心</w:t>
      </w:r>
      <w:r>
        <w:rPr>
          <w:rFonts w:hint="eastAsia" w:ascii="仿宋_GB2312" w:hAnsi="黑体" w:eastAsia="仿宋_GB2312" w:cs="黑体"/>
          <w:sz w:val="32"/>
          <w:szCs w:val="32"/>
        </w:rPr>
        <w:t>共有车辆</w:t>
      </w:r>
      <w:r>
        <w:rPr>
          <w:rFonts w:hint="eastAsia" w:ascii="仿宋_GB2312" w:hAnsi="黑体" w:eastAsia="仿宋_GB2312" w:cs="黑体"/>
          <w:sz w:val="32"/>
          <w:szCs w:val="32"/>
          <w:lang w:val="en-US" w:eastAsia="zh-CN"/>
        </w:rPr>
        <w:t>0</w:t>
      </w:r>
      <w:r>
        <w:rPr>
          <w:rFonts w:hint="eastAsia" w:ascii="仿宋_GB2312" w:hAnsi="黑体" w:eastAsia="仿宋_GB2312" w:cs="黑体"/>
          <w:sz w:val="32"/>
          <w:szCs w:val="32"/>
        </w:rPr>
        <w:t>辆</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海口市药品不良反应监测中心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color w:val="000000" w:themeColor="text1"/>
          <w:sz w:val="32"/>
          <w:szCs w:val="32"/>
          <w14:textFill>
            <w14:solidFill>
              <w14:schemeClr w14:val="tx1"/>
            </w14:solidFill>
          </w14:textFill>
        </w:rPr>
        <w:t>涉及一般公共预算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358.04</w:t>
      </w:r>
      <w:r>
        <w:rPr>
          <w:rFonts w:hint="eastAsia" w:ascii="仿宋_GB2312" w:hAnsi="黑体" w:eastAsia="仿宋_GB2312"/>
          <w:color w:val="000000" w:themeColor="text1"/>
          <w:sz w:val="32"/>
          <w:szCs w:val="32"/>
          <w14:textFill>
            <w14:solidFill>
              <w14:schemeClr w14:val="tx1"/>
            </w14:solidFill>
          </w14:textFill>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046" w:bottom="1440" w:left="12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633D4"/>
    <w:multiLevelType w:val="singleLevel"/>
    <w:tmpl w:val="E18633D4"/>
    <w:lvl w:ilvl="0" w:tentative="0">
      <w:start w:val="9"/>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6DF168"/>
    <w:multiLevelType w:val="singleLevel"/>
    <w:tmpl w:val="136DF168"/>
    <w:lvl w:ilvl="0" w:tentative="0">
      <w:start w:val="2"/>
      <w:numFmt w:val="chineseCounting"/>
      <w:suff w:val="space"/>
      <w:lvlText w:val="第%1部分"/>
      <w:lvlJc w:val="left"/>
      <w:rPr>
        <w:rFonts w:hint="eastAsia"/>
      </w:rPr>
    </w:lvl>
  </w:abstractNum>
  <w:abstractNum w:abstractNumId="3">
    <w:nsid w:val="207D8C20"/>
    <w:multiLevelType w:val="singleLevel"/>
    <w:tmpl w:val="207D8C20"/>
    <w:lvl w:ilvl="0" w:tentative="0">
      <w:start w:val="4"/>
      <w:numFmt w:val="chineseCounting"/>
      <w:suff w:val="nothing"/>
      <w:lvlText w:val="%1、"/>
      <w:lvlJc w:val="left"/>
      <w:rPr>
        <w:rFonts w:hint="eastAsia"/>
      </w:r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B6210"/>
    <w:rsid w:val="04EE7553"/>
    <w:rsid w:val="07B60CA2"/>
    <w:rsid w:val="0B8351E6"/>
    <w:rsid w:val="144B45D7"/>
    <w:rsid w:val="14F15C1A"/>
    <w:rsid w:val="1A6633A0"/>
    <w:rsid w:val="1BF81C58"/>
    <w:rsid w:val="1F64349A"/>
    <w:rsid w:val="21BC7219"/>
    <w:rsid w:val="225E0910"/>
    <w:rsid w:val="227B5CB9"/>
    <w:rsid w:val="284139EB"/>
    <w:rsid w:val="29217325"/>
    <w:rsid w:val="2E571742"/>
    <w:rsid w:val="36025381"/>
    <w:rsid w:val="3B9845C2"/>
    <w:rsid w:val="3C6E0253"/>
    <w:rsid w:val="45B01083"/>
    <w:rsid w:val="46124410"/>
    <w:rsid w:val="468A086F"/>
    <w:rsid w:val="47FF2615"/>
    <w:rsid w:val="49ED77CD"/>
    <w:rsid w:val="4F6523D1"/>
    <w:rsid w:val="5065265B"/>
    <w:rsid w:val="514F4FA1"/>
    <w:rsid w:val="53A058D9"/>
    <w:rsid w:val="547F64D7"/>
    <w:rsid w:val="5D83399A"/>
    <w:rsid w:val="5DB71FCB"/>
    <w:rsid w:val="6A8F6F5B"/>
    <w:rsid w:val="72C94D6A"/>
    <w:rsid w:val="73607314"/>
    <w:rsid w:val="7DEBCAFF"/>
    <w:rsid w:val="7E68761A"/>
    <w:rsid w:val="7FBB41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 w:type="character" w:customStyle="1" w:styleId="11">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123</cp:lastModifiedBy>
  <cp:lastPrinted>2022-03-01T07:38:00Z</cp:lastPrinted>
  <dcterms:modified xsi:type="dcterms:W3CDTF">2023-03-03T07:26:02Z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