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海口市市场监督管理局</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hAnsi="黑体" w:eastAsia="仿宋_GB2312" w:cs="仿宋_GB2312"/>
          <w:sz w:val="32"/>
          <w:szCs w:val="32"/>
        </w:rPr>
      </w:pPr>
      <w:r>
        <w:rPr>
          <w:rFonts w:hint="eastAsia" w:ascii="仿宋_GB2312" w:hAnsi="黑体" w:eastAsia="仿宋_GB2312" w:cs="仿宋_GB2312"/>
          <w:sz w:val="32"/>
          <w:szCs w:val="32"/>
        </w:rPr>
        <w:t>　　（二）负责组织实施质量强市战略、食品安全战略和标准化战略。</w:t>
      </w:r>
    </w:p>
    <w:p>
      <w:pPr>
        <w:rPr>
          <w:rFonts w:ascii="仿宋_GB2312" w:hAnsi="黑体" w:eastAsia="仿宋_GB2312" w:cs="仿宋_GB2312"/>
          <w:sz w:val="32"/>
          <w:szCs w:val="32"/>
        </w:rPr>
      </w:pPr>
      <w:r>
        <w:rPr>
          <w:rFonts w:hint="eastAsia" w:ascii="仿宋_GB2312" w:hAnsi="黑体"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hAnsi="黑体" w:eastAsia="仿宋_GB2312" w:cs="仿宋_GB2312"/>
          <w:sz w:val="32"/>
          <w:szCs w:val="32"/>
        </w:rPr>
      </w:pPr>
      <w:r>
        <w:rPr>
          <w:rFonts w:hint="eastAsia" w:ascii="仿宋_GB2312" w:hAnsi="黑体"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hAnsi="黑体" w:eastAsia="仿宋_GB2312" w:cs="仿宋_GB2312"/>
          <w:sz w:val="32"/>
          <w:szCs w:val="32"/>
        </w:rPr>
      </w:pPr>
      <w:r>
        <w:rPr>
          <w:rFonts w:hint="eastAsia" w:ascii="仿宋_GB2312" w:hAnsi="黑体"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hAnsi="黑体" w:eastAsia="仿宋_GB2312" w:cs="仿宋_GB2312"/>
          <w:sz w:val="32"/>
          <w:szCs w:val="32"/>
        </w:rPr>
      </w:pPr>
      <w:r>
        <w:rPr>
          <w:rFonts w:hint="eastAsia" w:ascii="仿宋_GB2312" w:hAnsi="黑体"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hAnsi="黑体" w:eastAsia="仿宋_GB2312" w:cs="仿宋_GB2312"/>
          <w:sz w:val="32"/>
          <w:szCs w:val="32"/>
        </w:rPr>
      </w:pPr>
      <w:r>
        <w:rPr>
          <w:rFonts w:hint="eastAsia" w:ascii="仿宋_GB2312" w:hAnsi="黑体"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hAnsi="黑体" w:eastAsia="仿宋_GB2312" w:cs="仿宋_GB2312"/>
          <w:sz w:val="32"/>
          <w:szCs w:val="32"/>
        </w:rPr>
      </w:pPr>
      <w:r>
        <w:rPr>
          <w:rFonts w:hint="eastAsia" w:ascii="仿宋_GB2312" w:hAnsi="黑体"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hAnsi="黑体" w:eastAsia="仿宋_GB2312" w:cs="仿宋_GB2312"/>
          <w:sz w:val="32"/>
          <w:szCs w:val="32"/>
        </w:rPr>
      </w:pPr>
      <w:r>
        <w:rPr>
          <w:rFonts w:hint="eastAsia" w:ascii="仿宋_GB2312" w:hAnsi="黑体"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hAnsi="黑体" w:eastAsia="仿宋_GB2312" w:cs="仿宋_GB2312"/>
          <w:sz w:val="32"/>
          <w:szCs w:val="32"/>
        </w:rPr>
      </w:pPr>
      <w:r>
        <w:rPr>
          <w:rFonts w:hint="eastAsia" w:ascii="仿宋_GB2312" w:hAnsi="黑体"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hAnsi="黑体" w:eastAsia="仿宋_GB2312" w:cs="仿宋_GB2312"/>
          <w:sz w:val="32"/>
          <w:szCs w:val="32"/>
        </w:rPr>
      </w:pPr>
      <w:r>
        <w:rPr>
          <w:rFonts w:hint="eastAsia" w:ascii="仿宋_GB2312" w:hAnsi="黑体" w:eastAsia="仿宋_GB2312" w:cs="仿宋_GB2312"/>
          <w:sz w:val="32"/>
          <w:szCs w:val="32"/>
        </w:rPr>
        <w:t>　　（十三）负责本市市场监督管理科技和信息化建设、新闻宣传、对外交流与合作等工作，按规定承担技术性贸易措施有关工 作。</w:t>
      </w:r>
    </w:p>
    <w:p>
      <w:pPr>
        <w:rPr>
          <w:rFonts w:ascii="仿宋_GB2312" w:hAnsi="黑体" w:eastAsia="仿宋_GB2312" w:cs="仿宋_GB2312"/>
          <w:sz w:val="32"/>
          <w:szCs w:val="32"/>
        </w:rPr>
      </w:pPr>
      <w:r>
        <w:rPr>
          <w:rFonts w:hint="eastAsia" w:ascii="仿宋_GB2312" w:hAnsi="黑体"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（十六）负责本市食盐经营质量安全监督管理工作。</w:t>
      </w:r>
    </w:p>
    <w:p>
      <w:pPr>
        <w:rPr>
          <w:rFonts w:ascii="仿宋_GB2312" w:hAnsi="黑体" w:eastAsia="仿宋_GB2312" w:cs="仿宋_GB2312"/>
          <w:sz w:val="32"/>
          <w:szCs w:val="32"/>
        </w:rPr>
      </w:pPr>
      <w:r>
        <w:rPr>
          <w:rFonts w:hint="eastAsia" w:ascii="仿宋_GB2312" w:hAnsi="黑体"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hAnsi="黑体" w:eastAsia="仿宋_GB2312" w:cs="仿宋_GB2312"/>
          <w:sz w:val="32"/>
          <w:szCs w:val="32"/>
        </w:rPr>
      </w:pPr>
      <w:r>
        <w:rPr>
          <w:rFonts w:hint="eastAsia" w:ascii="仿宋_GB2312" w:hAnsi="黑体"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hAnsi="黑体" w:eastAsia="仿宋_GB2312" w:cs="仿宋_GB2312"/>
          <w:sz w:val="32"/>
          <w:szCs w:val="32"/>
        </w:rPr>
      </w:pPr>
      <w:r>
        <w:rPr>
          <w:rFonts w:hint="eastAsia" w:ascii="仿宋_GB2312" w:hAnsi="黑体"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hAnsi="黑体" w:eastAsia="仿宋_GB2312" w:cs="仿宋_GB2312"/>
          <w:sz w:val="32"/>
          <w:szCs w:val="32"/>
        </w:rPr>
      </w:pPr>
      <w:r>
        <w:rPr>
          <w:rFonts w:hint="eastAsia" w:ascii="仿宋_GB2312" w:hAnsi="黑体"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4"/>
        <w:numPr>
          <w:ilvl w:val="-1"/>
          <w:numId w:val="0"/>
        </w:numPr>
        <w:ind w:left="0" w:firstLine="640" w:firstLineChars="200"/>
        <w:jc w:val="both"/>
        <w:rPr>
          <w:rFonts w:hint="eastAsia" w:ascii="仿宋_GB2312" w:hAnsi="黑体" w:eastAsia="仿宋_GB2312" w:cs="仿宋_GB2312"/>
          <w:sz w:val="32"/>
          <w:szCs w:val="32"/>
        </w:rPr>
      </w:pPr>
      <w:r>
        <w:rPr>
          <w:rFonts w:hint="eastAsia" w:ascii="仿宋_GB2312" w:hAnsi="黑体" w:eastAsia="仿宋_GB2312" w:cs="仿宋_GB2312"/>
          <w:sz w:val="32"/>
          <w:szCs w:val="32"/>
        </w:rPr>
        <w:t>（二十一）完成市委、市政府和上级部门交办的其他任务。</w:t>
      </w:r>
    </w:p>
    <w:p>
      <w:pPr>
        <w:pStyle w:val="4"/>
        <w:numPr>
          <w:ilvl w:val="-1"/>
          <w:numId w:val="0"/>
        </w:numPr>
        <w:ind w:left="0" w:firstLine="0" w:firstLineChars="0"/>
        <w:jc w:val="left"/>
        <w:rPr>
          <w:rFonts w:ascii="黑体" w:hAnsi="黑体" w:eastAsia="黑体"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pStyle w:val="5"/>
        <w:ind w:firstLine="579" w:firstLineChars="181"/>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纳入海口市市场监督管理局（部门）202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年部门预算编制范围的二级预算单位包括：</w:t>
      </w:r>
    </w:p>
    <w:p>
      <w:pPr>
        <w:pStyle w:val="5"/>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海口市市场监督管理局</w:t>
      </w:r>
    </w:p>
    <w:p>
      <w:pPr>
        <w:pStyle w:val="5"/>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海口市知识产权</w:t>
      </w:r>
      <w:r>
        <w:rPr>
          <w:rFonts w:hint="eastAsia" w:ascii="仿宋_GB2312" w:hAnsi="黑体" w:eastAsia="仿宋_GB2312" w:cs="仿宋_GB2312"/>
          <w:sz w:val="32"/>
          <w:szCs w:val="32"/>
          <w:lang w:eastAsia="zh-CN"/>
        </w:rPr>
        <w:t>保护</w:t>
      </w:r>
      <w:r>
        <w:rPr>
          <w:rFonts w:hint="eastAsia" w:ascii="仿宋_GB2312" w:hAnsi="黑体" w:eastAsia="仿宋_GB2312" w:cs="仿宋_GB2312"/>
          <w:sz w:val="32"/>
          <w:szCs w:val="32"/>
        </w:rPr>
        <w:t>中心</w:t>
      </w:r>
    </w:p>
    <w:p>
      <w:pPr>
        <w:pStyle w:val="5"/>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3.海口市药品不良反应监测中心</w:t>
      </w:r>
    </w:p>
    <w:p>
      <w:pPr>
        <w:pStyle w:val="5"/>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4.海口市市场监督管理局市场监管行政执法支队</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部门</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29,307.84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29,307.84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29,307.51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0.33</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29,307.84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23,606.71</w:t>
      </w:r>
      <w:r>
        <w:rPr>
          <w:rFonts w:hint="eastAsia" w:ascii="仿宋_GB2312" w:hAnsi="黑体" w:eastAsia="仿宋_GB2312"/>
          <w:sz w:val="32"/>
          <w:szCs w:val="32"/>
        </w:rPr>
        <w:t>万元、社会保障和就业支出2,673.97万元、卫生健康支出1,775.34万元、住房保障支出1,251.82</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29,307.84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1338.41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一般公共服务（类）支出23606.71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80.55</w:t>
      </w:r>
      <w:r>
        <w:rPr>
          <w:rFonts w:hint="eastAsia" w:ascii="仿宋_GB2312" w:hAnsi="黑体" w:eastAsia="仿宋_GB2312"/>
          <w:sz w:val="32"/>
          <w:szCs w:val="32"/>
        </w:rPr>
        <w:t>%；社会保障和就业支出2673.97万元，占</w:t>
      </w:r>
      <w:r>
        <w:rPr>
          <w:rFonts w:hint="eastAsia" w:ascii="仿宋_GB2312" w:hAnsi="黑体" w:eastAsia="仿宋_GB2312" w:cs="仿宋_GB2312"/>
          <w:sz w:val="32"/>
          <w:szCs w:val="32"/>
          <w:lang w:val="en-US" w:eastAsia="zh-CN"/>
        </w:rPr>
        <w:t>9.12</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1775.34万元，占</w:t>
      </w:r>
      <w:r>
        <w:rPr>
          <w:rFonts w:hint="eastAsia" w:ascii="仿宋_GB2312" w:hAnsi="黑体" w:eastAsia="仿宋_GB2312" w:cs="仿宋_GB2312"/>
          <w:sz w:val="32"/>
          <w:szCs w:val="32"/>
          <w:lang w:val="en-US" w:eastAsia="zh-CN"/>
        </w:rPr>
        <w:t>6.06</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1251.82万元，占</w:t>
      </w:r>
      <w:r>
        <w:rPr>
          <w:rFonts w:hint="eastAsia" w:ascii="仿宋_GB2312" w:hAnsi="黑体" w:eastAsia="仿宋_GB2312" w:cs="仿宋_GB2312"/>
          <w:sz w:val="32"/>
          <w:szCs w:val="32"/>
          <w:lang w:val="en-US" w:eastAsia="zh-CN"/>
        </w:rPr>
        <w:t>4.27</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一般公共服务（类）知识产权事务（款）事业运行（项）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163.84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16.62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知识产权保护中心基本支出减少。</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一般公共服务（类）知识产权事务（款）其他知识产权事务支出（项）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1230万元，主要是</w:t>
      </w:r>
      <w:r>
        <w:rPr>
          <w:rFonts w:hint="eastAsia" w:ascii="仿宋_GB2312" w:hAnsi="黑体" w:eastAsia="仿宋_GB2312" w:cs="仿宋_GB2312"/>
          <w:sz w:val="32"/>
          <w:szCs w:val="32"/>
          <w:lang w:eastAsia="zh-CN"/>
        </w:rPr>
        <w:t>知识产权服务中心项目支出的减少。</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10,620.29</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76.16万元，主要是基本支出的减少。</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一般公共服务（类）市场监督管理事务（款）一般行政管理事务（项）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2,513.75</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205.4万元，主要是项目标准化建设的增加。</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一般公共服务（类）市场监督管理事务（款）市场主体管理（项）202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年预算数为6,584.26万元，比上年预算数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2290.47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项目商事登记项目的增加及免费刻章项目经费的增加。</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一般公共服务（类）市场监督管理事务（款）信息化建设（项）202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199.29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19.36万元，主要是信息化建设项目经费的减少</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455.84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165.07万元，主要是药品不良反应中心项目的增加</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一般公共服务（类）市场监督管理事务（款）</w:t>
      </w:r>
      <w:r>
        <w:rPr>
          <w:rFonts w:hint="eastAsia" w:ascii="仿宋_GB2312" w:hAnsi="黑体" w:eastAsia="仿宋_GB2312" w:cs="仿宋_GB2312"/>
          <w:sz w:val="32"/>
          <w:szCs w:val="32"/>
          <w:lang w:eastAsia="zh-CN"/>
        </w:rPr>
        <w:t>食品安全监管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244.8万元，主要是</w:t>
      </w:r>
      <w:r>
        <w:rPr>
          <w:rFonts w:hint="eastAsia" w:ascii="仿宋_GB2312" w:hAnsi="黑体" w:eastAsia="仿宋_GB2312" w:cs="仿宋_GB2312"/>
          <w:sz w:val="32"/>
          <w:szCs w:val="32"/>
          <w:lang w:eastAsia="zh-CN"/>
        </w:rPr>
        <w:t>创建食品安全示范城市项目经费减少。</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一般公共服务（类）市场监督管理事务（款）事业运行（项）202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年预算数为1,829.52万元，比上年预算数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46.15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主要是二级单位基本支出的减少</w:t>
      </w:r>
      <w:r>
        <w:rPr>
          <w:rFonts w:hint="eastAsia" w:ascii="仿宋_GB2312" w:hAnsi="黑体" w:eastAsia="仿宋_GB2312" w:cs="仿宋_GB2312"/>
          <w:sz w:val="32"/>
          <w:szCs w:val="32"/>
          <w:lang w:eastAsia="zh-CN"/>
        </w:rPr>
        <w:t>。</w:t>
      </w:r>
    </w:p>
    <w:p>
      <w:pPr>
        <w:numPr>
          <w:ilvl w:val="0"/>
          <w:numId w:val="7"/>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一般公共服务（类）市场监督管理事务（款）其他市场监督管理事务（项）202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年预算数为67.5万元，比上年预算数</w:t>
      </w:r>
      <w:r>
        <w:rPr>
          <w:rFonts w:hint="eastAsia" w:ascii="仿宋_GB2312" w:hAnsi="黑体" w:eastAsia="仿宋_GB2312"/>
          <w:sz w:val="32"/>
          <w:szCs w:val="32"/>
          <w:lang w:eastAsia="zh-CN"/>
        </w:rPr>
        <w:t>增加67.5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主要是二级单位项目的支出功能分类变更</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社会保障和就业支出（类）行政事业单位养老支出（款）行政单位离退休（项）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年预算数为47.97万元，比上年预算数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万元，主要是离休人员</w:t>
      </w:r>
      <w:r>
        <w:rPr>
          <w:rFonts w:hint="eastAsia" w:ascii="仿宋_GB2312" w:hAnsi="黑体" w:eastAsia="仿宋_GB2312"/>
          <w:sz w:val="32"/>
          <w:szCs w:val="32"/>
          <w:lang w:eastAsia="zh-CN"/>
        </w:rPr>
        <w:t>补助的增加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年预算数为1,400.09万元，比上年预算数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47.58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人员的减少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社会保障和就业支出（类）行政事业单位养老支出（款）机关事业单位职业年金缴费支出（项）</w:t>
      </w:r>
      <w:r>
        <w:rPr>
          <w:rFonts w:hint="eastAsia" w:ascii="仿宋_GB2312" w:hAnsi="黑体" w:eastAsia="仿宋_GB2312"/>
          <w:sz w:val="32"/>
          <w:szCs w:val="32"/>
          <w:lang w:val="en-US" w:eastAsia="zh-CN"/>
        </w:rPr>
        <w:t>2024年预算数为700.05万元，比上年预算数增加23.79万元，主要是职业年金基数的变化。</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年预算数为483.44万元，比上年预算数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59.44万元，主要是行政事业单位养老基数的调整</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rPr>
        <w:t xml:space="preserve"> </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年预算数为42.42万元，比上年预算数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15.93万元，主要是人员数量的变化</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rPr>
        <w:t xml:space="preserve"> </w:t>
      </w:r>
      <w:r>
        <w:rPr>
          <w:rFonts w:hint="eastAsia" w:ascii="仿宋_GB2312" w:hAnsi="黑体" w:eastAsia="仿宋_GB2312"/>
          <w:sz w:val="32"/>
          <w:szCs w:val="32"/>
        </w:rPr>
        <w:t>卫生健康支出（类）行政事业单位医疗（款）行政单位医疗（项）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年预算数为544.00万元，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7</w:t>
      </w:r>
      <w:r>
        <w:rPr>
          <w:rFonts w:hint="eastAsia" w:ascii="仿宋_GB2312" w:hAnsi="黑体" w:eastAsia="仿宋_GB2312"/>
          <w:sz w:val="32"/>
          <w:szCs w:val="32"/>
        </w:rPr>
        <w:t>. 卫生健康支出（类）行政事业单位医疗（款）事业单位医疗（项）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年预算数为111.88万元，比上年预算数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8万元，主要是二级单位基数的调整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8</w:t>
      </w:r>
      <w:r>
        <w:rPr>
          <w:rFonts w:hint="eastAsia" w:ascii="仿宋_GB2312" w:hAnsi="黑体" w:eastAsia="仿宋_GB2312"/>
          <w:sz w:val="32"/>
          <w:szCs w:val="32"/>
        </w:rPr>
        <w:t>. 卫生健康支出（类）行政事业单位医疗（款）公务员医疗补助（项）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年预算数为881.10万元，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9</w:t>
      </w:r>
      <w:r>
        <w:rPr>
          <w:rFonts w:hint="eastAsia" w:ascii="仿宋_GB2312" w:hAnsi="黑体" w:eastAsia="仿宋_GB2312"/>
          <w:sz w:val="32"/>
          <w:szCs w:val="32"/>
        </w:rPr>
        <w:t>. 卫生健康支出（类）行政事业单位医疗（款）其他行政事业单位医疗支出（项）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年预算数为238.36万元，比上年预算数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85.73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其他行政事业单位医疗支出基数的调整。</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 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年预算数为1,251.11万元，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26.07万元，主要是住房公积金基数调整</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 住房保障支出（类）住房改革支出（款）住房公积金（项）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年预算数为0.71万元，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0.71万元，主要是项目的增加</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海口市市场监督管理局</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18314.78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16706.42</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1,608.36</w:t>
      </w:r>
      <w:r>
        <w:rPr>
          <w:rFonts w:hint="eastAsia" w:ascii="仿宋_GB2312" w:hAnsi="黑体" w:eastAsia="仿宋_GB2312"/>
          <w:sz w:val="32"/>
          <w:szCs w:val="32"/>
        </w:rPr>
        <w:t>万元，主要包括：其他社会保障缴费、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hAnsi="黑体" w:eastAsia="仿宋_GB2312"/>
          <w:sz w:val="32"/>
          <w:szCs w:val="32"/>
          <w:lang w:eastAsia="zh-CN"/>
        </w:rPr>
        <w:t>救济费、其他对个人和家庭的补助、</w:t>
      </w:r>
      <w:r>
        <w:rPr>
          <w:rFonts w:hint="eastAsia" w:ascii="仿宋_GB2312" w:hAnsi="黑体" w:eastAsia="仿宋_GB2312"/>
          <w:sz w:val="32"/>
          <w:szCs w:val="32"/>
        </w:rPr>
        <w:t>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海口市市场监督管理局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204.72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与上年度预算数持平，</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受疫情影响</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未安排</w:t>
      </w:r>
      <w:r>
        <w:rPr>
          <w:rFonts w:hint="eastAsia" w:ascii="Times New Roman" w:hAnsi="Times New Roman" w:eastAsia="仿宋_GB2312" w:cs="Times New Roman"/>
          <w:sz w:val="32"/>
          <w:shd w:val="clear" w:color="auto" w:fill="FFFFFF"/>
        </w:rPr>
        <w:t>因公出国（境）经费。</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外事部门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195.82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195.82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lang w:eastAsia="zh-CN"/>
        </w:rPr>
        <w:t>度</w:t>
      </w:r>
      <w:r>
        <w:rPr>
          <w:rFonts w:ascii="Times New Roman" w:hAnsi="Times New Roman" w:eastAsia="仿宋_GB2312" w:cs="Times New Roman"/>
          <w:sz w:val="32"/>
          <w:shd w:val="clear" w:color="auto" w:fill="FFFFFF"/>
        </w:rPr>
        <w:t>预</w:t>
      </w:r>
      <w:r>
        <w:rPr>
          <w:rFonts w:hint="eastAsia" w:ascii="Times New Roman" w:hAnsi="Times New Roman" w:eastAsia="仿宋_GB2312" w:cs="Times New Roman"/>
          <w:sz w:val="32"/>
          <w:shd w:val="clear" w:color="auto" w:fill="FFFFFF"/>
          <w:lang w:eastAsia="zh-CN"/>
        </w:rPr>
        <w:t>增加</w:t>
      </w:r>
      <w:r>
        <w:rPr>
          <w:rFonts w:hint="eastAsia" w:ascii="Times New Roman" w:hAnsi="Times New Roman" w:eastAsia="仿宋_GB2312" w:cs="Times New Roman"/>
          <w:sz w:val="32"/>
          <w:shd w:val="clear" w:color="auto" w:fill="FFFFFF"/>
          <w:lang w:val="en-US" w:eastAsia="zh-CN"/>
        </w:rPr>
        <w:t>60.42万元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经济日益稳步增长，公车使用增多</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92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8.90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增加3.4万元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下降</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调研人数逐步增加。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45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380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次</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外事部门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92</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海口市市场监督管理局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政府性基金预算当年拨款0万元。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政府性基金预算当年支出0万元</w:t>
      </w:r>
      <w:r>
        <w:rPr>
          <w:rFonts w:hint="eastAsia" w:ascii="仿宋_GB2312" w:hAnsi="黑体" w:eastAsia="仿宋_GB2312" w:cs="仿宋_GB2312"/>
          <w:sz w:val="32"/>
          <w:szCs w:val="32"/>
          <w:lang w:eastAsia="zh-CN"/>
        </w:rPr>
        <w:t>，与上年预算数持平，无此项预算。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海口市市场监督管理局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黑体"/>
          <w:sz w:val="32"/>
          <w:szCs w:val="32"/>
        </w:rPr>
        <w:t>29,742.84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海口市市场监督管理局（部门）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海口市市场监督管理局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29,742.84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0.33</w:t>
      </w:r>
      <w:r>
        <w:rPr>
          <w:rFonts w:hint="eastAsia" w:ascii="仿宋_GB2312" w:hAnsi="黑体" w:eastAsia="仿宋_GB2312"/>
          <w:sz w:val="32"/>
          <w:szCs w:val="32"/>
        </w:rPr>
        <w:t>万元；一般公共预算拨款收入</w:t>
      </w:r>
      <w:r>
        <w:rPr>
          <w:rFonts w:hint="eastAsia" w:ascii="仿宋_GB2312" w:hAnsi="黑体" w:eastAsia="仿宋_GB2312" w:cs="仿宋_GB2312"/>
          <w:sz w:val="32"/>
          <w:szCs w:val="32"/>
        </w:rPr>
        <w:t>29,307.51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98.54</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1442.32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海口市市场监督管理局（部门）</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29,742.84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18,314.78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61.58</w:t>
      </w:r>
      <w:r>
        <w:rPr>
          <w:rFonts w:hint="eastAsia" w:ascii="仿宋_GB2312" w:hAnsi="黑体" w:eastAsia="仿宋_GB2312"/>
          <w:sz w:val="32"/>
          <w:szCs w:val="32"/>
        </w:rPr>
        <w:t>%；项目支出</w:t>
      </w:r>
      <w:r>
        <w:rPr>
          <w:rFonts w:hint="eastAsia" w:ascii="仿宋_GB2312" w:hAnsi="黑体" w:eastAsia="仿宋_GB2312" w:cs="仿宋_GB2312"/>
          <w:sz w:val="32"/>
          <w:szCs w:val="32"/>
        </w:rPr>
        <w:t>11,428.06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38.42</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1442.32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
        <w:t>九、其他重要事项的情况</w:t>
      </w:r>
      <w:r>
        <w:rPr>
          <w:rFonts w:hint="eastAsia" w:ascii="黑体" w:hAnsi="黑体" w:eastAsia="黑体" w:cs="Times New Roman"/>
          <w:sz w:val="32"/>
          <w:shd w:val="clear" w:color="auto" w:fill="FFFFFF"/>
        </w:rPr>
        <w:t>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海口市市场监督管理局（部门）：海口市市场监督管理局（本级）、海口市市场监督管理局市场监管行政执法支队（参照公务员法管理的事业单位）的机关运行经费预算</w:t>
      </w:r>
      <w:r>
        <w:rPr>
          <w:rFonts w:hint="eastAsia" w:ascii="仿宋_GB2312" w:hAnsi="黑体" w:eastAsia="仿宋_GB2312" w:cs="仿宋_GB2312"/>
          <w:sz w:val="32"/>
          <w:szCs w:val="32"/>
          <w:lang w:val="en-US" w:eastAsia="zh-CN"/>
        </w:rPr>
        <w:t>1560.13</w:t>
      </w:r>
      <w:r>
        <w:rPr>
          <w:rFonts w:hint="eastAsia" w:ascii="仿宋_GB2312" w:hAnsi="黑体" w:eastAsia="仿宋_GB2312"/>
          <w:sz w:val="32"/>
          <w:szCs w:val="32"/>
        </w:rPr>
        <w:t>万元。</w:t>
      </w:r>
      <w:bookmarkStart w:id="0" w:name="_GoBack"/>
      <w:bookmarkEnd w:id="0"/>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4,018.23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4,018.23</w:t>
      </w:r>
      <w:r>
        <w:rPr>
          <w:rFonts w:hint="eastAsia" w:ascii="仿宋_GB2312" w:hAnsi="黑体" w:eastAsia="仿宋_GB2312" w:cs="仿宋_GB2312"/>
          <w:sz w:val="32"/>
          <w:szCs w:val="32"/>
          <w:lang w:eastAsia="zh-CN"/>
        </w:rPr>
        <w:t>万</w:t>
      </w:r>
      <w:r>
        <w:rPr>
          <w:rFonts w:hint="eastAsia" w:ascii="仿宋_GB2312" w:hAnsi="黑体" w:eastAsia="仿宋_GB2312"/>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92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79</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numPr>
          <w:ilvl w:val="0"/>
          <w:numId w:val="0"/>
        </w:numPr>
        <w:spacing w:line="576"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海口市市场监督管理局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73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29742.51</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980CC"/>
    <w:multiLevelType w:val="singleLevel"/>
    <w:tmpl w:val="83D980CC"/>
    <w:lvl w:ilvl="0" w:tentative="0">
      <w:start w:val="2"/>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5486B"/>
    <w:rsid w:val="005B2C58"/>
    <w:rsid w:val="01A97EFC"/>
    <w:rsid w:val="04D63AC1"/>
    <w:rsid w:val="06523844"/>
    <w:rsid w:val="06B84568"/>
    <w:rsid w:val="07420195"/>
    <w:rsid w:val="07970A43"/>
    <w:rsid w:val="097D694E"/>
    <w:rsid w:val="0D0722ED"/>
    <w:rsid w:val="0DA32B62"/>
    <w:rsid w:val="0DEF3187"/>
    <w:rsid w:val="135C64BF"/>
    <w:rsid w:val="13A26006"/>
    <w:rsid w:val="14311295"/>
    <w:rsid w:val="14E65A72"/>
    <w:rsid w:val="16DB4645"/>
    <w:rsid w:val="1A1E0C43"/>
    <w:rsid w:val="2169282A"/>
    <w:rsid w:val="22AB5FF9"/>
    <w:rsid w:val="23453DF5"/>
    <w:rsid w:val="240B6FDC"/>
    <w:rsid w:val="2CE44BEF"/>
    <w:rsid w:val="2F214FAB"/>
    <w:rsid w:val="31080CDD"/>
    <w:rsid w:val="31D33EE6"/>
    <w:rsid w:val="34C14152"/>
    <w:rsid w:val="38110BCA"/>
    <w:rsid w:val="38715FAE"/>
    <w:rsid w:val="38A01A04"/>
    <w:rsid w:val="39F20932"/>
    <w:rsid w:val="3A167E1A"/>
    <w:rsid w:val="3AE93563"/>
    <w:rsid w:val="419D6408"/>
    <w:rsid w:val="42686338"/>
    <w:rsid w:val="43046ED9"/>
    <w:rsid w:val="467348C5"/>
    <w:rsid w:val="48630B20"/>
    <w:rsid w:val="4D0C31D1"/>
    <w:rsid w:val="4FD95CF4"/>
    <w:rsid w:val="5248090F"/>
    <w:rsid w:val="535C75B5"/>
    <w:rsid w:val="560D0B04"/>
    <w:rsid w:val="581D4520"/>
    <w:rsid w:val="589E1484"/>
    <w:rsid w:val="5A6E5B4F"/>
    <w:rsid w:val="5B4C3CFA"/>
    <w:rsid w:val="5E8C736E"/>
    <w:rsid w:val="637C0AFE"/>
    <w:rsid w:val="6575496D"/>
    <w:rsid w:val="65972257"/>
    <w:rsid w:val="6B85486B"/>
    <w:rsid w:val="6F13168B"/>
    <w:rsid w:val="6F345871"/>
    <w:rsid w:val="745D70C8"/>
    <w:rsid w:val="754D1EDF"/>
    <w:rsid w:val="76761E62"/>
    <w:rsid w:val="76791DCC"/>
    <w:rsid w:val="76980CA4"/>
    <w:rsid w:val="76C60C25"/>
    <w:rsid w:val="78A335AC"/>
    <w:rsid w:val="79122096"/>
    <w:rsid w:val="7D82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993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2022-02-18T09:07:00Z</dcterms:created>
  <dc:creator>Administrator</dc:creator>
  <cp:lastModifiedBy>Administrator</cp:lastModifiedBy>
  <dcterms:modified xsi:type="dcterms:W3CDTF">2024-02-02T02:11:28Z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