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黑体"/>
          <w:b/>
          <w:color w:val="000000"/>
          <w:sz w:val="32"/>
          <w:szCs w:val="32"/>
        </w:rPr>
      </w:pPr>
      <w:r>
        <w:rPr>
          <w:rFonts w:hint="eastAsia" w:ascii="宋体" w:hAnsi="宋体" w:eastAsia="宋体" w:cs="黑体"/>
          <w:b/>
          <w:color w:val="000000"/>
          <w:sz w:val="32"/>
          <w:szCs w:val="32"/>
          <w:lang w:eastAsia="zh-CN"/>
        </w:rPr>
        <w:t>海</w:t>
      </w:r>
      <w:r>
        <w:rPr>
          <w:rFonts w:hint="eastAsia" w:ascii="宋体" w:hAnsi="宋体" w:eastAsia="宋体" w:cs="黑体"/>
          <w:b/>
          <w:color w:val="000000"/>
          <w:sz w:val="32"/>
          <w:szCs w:val="32"/>
        </w:rPr>
        <w:t>口市</w:t>
      </w:r>
      <w:r>
        <w:rPr>
          <w:rFonts w:ascii="宋体" w:hAnsi="宋体" w:eastAsia="宋体" w:cs="黑体"/>
          <w:b/>
          <w:color w:val="000000"/>
          <w:sz w:val="32"/>
          <w:szCs w:val="32"/>
        </w:rPr>
        <w:t>市场监督管理局</w:t>
      </w:r>
    </w:p>
    <w:p>
      <w:pPr>
        <w:snapToGrid w:val="0"/>
        <w:spacing w:line="440" w:lineRule="exact"/>
        <w:ind w:firstLine="643" w:firstLineChars="200"/>
        <w:jc w:val="center"/>
        <w:rPr>
          <w:rFonts w:hint="eastAsia" w:ascii="宋体" w:hAnsi="宋体" w:eastAsia="宋体"/>
          <w:b/>
          <w:bCs/>
          <w:color w:val="000000"/>
          <w:sz w:val="32"/>
          <w:szCs w:val="32"/>
          <w:lang w:eastAsia="zh-CN"/>
        </w:rPr>
      </w:pPr>
      <w:r>
        <w:rPr>
          <w:rFonts w:hint="eastAsia" w:ascii="宋体" w:hAnsi="宋体" w:eastAsia="宋体" w:cs="黑体"/>
          <w:b/>
          <w:color w:val="000000"/>
          <w:sz w:val="32"/>
          <w:szCs w:val="32"/>
        </w:rPr>
        <w:t>202</w:t>
      </w:r>
      <w:r>
        <w:rPr>
          <w:rFonts w:hint="eastAsia" w:ascii="宋体" w:hAnsi="宋体" w:eastAsia="宋体" w:cs="黑体"/>
          <w:b/>
          <w:color w:val="000000"/>
          <w:sz w:val="32"/>
          <w:szCs w:val="32"/>
          <w:lang w:val="en-US" w:eastAsia="zh-CN"/>
        </w:rPr>
        <w:t>3</w:t>
      </w:r>
      <w:r>
        <w:rPr>
          <w:rFonts w:hint="eastAsia" w:ascii="宋体" w:hAnsi="宋体" w:eastAsia="宋体" w:cs="黑体"/>
          <w:b/>
          <w:color w:val="000000"/>
          <w:sz w:val="32"/>
          <w:szCs w:val="32"/>
        </w:rPr>
        <w:t>年产品质量市级监督抽查实施细则</w:t>
      </w:r>
      <w:r>
        <w:rPr>
          <w:rFonts w:hint="eastAsia" w:ascii="宋体" w:hAnsi="宋体" w:eastAsia="宋体" w:cs="黑体"/>
          <w:b/>
          <w:color w:val="000000"/>
          <w:sz w:val="32"/>
          <w:szCs w:val="32"/>
          <w:lang w:eastAsia="zh-CN"/>
        </w:rPr>
        <w:t>（</w:t>
      </w:r>
      <w:r>
        <w:rPr>
          <w:rFonts w:hint="eastAsia" w:ascii="宋体" w:hAnsi="宋体"/>
          <w:b/>
          <w:bCs/>
          <w:color w:val="000000"/>
          <w:sz w:val="32"/>
          <w:szCs w:val="32"/>
          <w:lang w:eastAsia="zh-CN"/>
        </w:rPr>
        <w:t>石油焦碳</w:t>
      </w:r>
      <w:bookmarkStart w:id="2" w:name="_GoBack"/>
      <w:bookmarkEnd w:id="2"/>
      <w:r>
        <w:rPr>
          <w:rFonts w:hint="eastAsia" w:ascii="宋体" w:hAnsi="宋体" w:eastAsia="宋体" w:cs="黑体"/>
          <w:b/>
          <w:color w:val="000000"/>
          <w:sz w:val="32"/>
          <w:szCs w:val="32"/>
          <w:lang w:eastAsia="zh-CN"/>
        </w:rPr>
        <w:t>）</w:t>
      </w: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643" w:firstLineChars="200"/>
        <w:jc w:val="center"/>
        <w:rPr>
          <w:rFonts w:hint="eastAsia" w:ascii="宋体" w:hAnsi="宋体"/>
          <w:b/>
          <w:bCs/>
          <w:color w:val="000000"/>
          <w:sz w:val="32"/>
          <w:szCs w:val="32"/>
        </w:rPr>
      </w:pPr>
    </w:p>
    <w:p>
      <w:pPr>
        <w:snapToGrid w:val="0"/>
        <w:spacing w:line="440" w:lineRule="exact"/>
        <w:ind w:firstLine="2891" w:firstLineChars="900"/>
        <w:jc w:val="both"/>
        <w:rPr>
          <w:rFonts w:hint="eastAsia" w:ascii="宋体" w:hAnsi="宋体"/>
          <w:b/>
          <w:bCs/>
          <w:color w:val="000000"/>
          <w:sz w:val="32"/>
          <w:szCs w:val="32"/>
        </w:rPr>
      </w:pPr>
      <w:r>
        <w:rPr>
          <w:rFonts w:hint="eastAsia" w:ascii="宋体" w:hAnsi="宋体"/>
          <w:b/>
          <w:bCs/>
          <w:color w:val="000000"/>
          <w:sz w:val="32"/>
          <w:szCs w:val="32"/>
        </w:rPr>
        <w:t>海口市市场监督管理局</w:t>
      </w:r>
    </w:p>
    <w:p>
      <w:pPr>
        <w:snapToGrid w:val="0"/>
        <w:spacing w:line="440" w:lineRule="exact"/>
        <w:ind w:firstLine="643" w:firstLineChars="200"/>
        <w:jc w:val="center"/>
        <w:rPr>
          <w:rFonts w:hint="eastAsia" w:ascii="宋体" w:hAnsi="宋体"/>
          <w:b/>
          <w:bCs/>
          <w:color w:val="000000"/>
          <w:sz w:val="32"/>
          <w:szCs w:val="32"/>
        </w:rPr>
      </w:pPr>
      <w:r>
        <w:rPr>
          <w:rFonts w:hint="eastAsia" w:ascii="宋体" w:hAnsi="宋体"/>
          <w:b/>
          <w:bCs/>
          <w:color w:val="000000"/>
          <w:sz w:val="32"/>
          <w:szCs w:val="32"/>
        </w:rPr>
        <w:t>202</w:t>
      </w:r>
      <w:r>
        <w:rPr>
          <w:rFonts w:hint="eastAsia" w:ascii="宋体" w:hAnsi="宋体"/>
          <w:b/>
          <w:bCs/>
          <w:color w:val="000000"/>
          <w:sz w:val="32"/>
          <w:szCs w:val="32"/>
          <w:lang w:val="en-US" w:eastAsia="zh-CN"/>
        </w:rPr>
        <w:t>3</w:t>
      </w:r>
      <w:r>
        <w:rPr>
          <w:rFonts w:hint="eastAsia" w:ascii="宋体" w:hAnsi="宋体"/>
          <w:b/>
          <w:bCs/>
          <w:color w:val="000000"/>
          <w:sz w:val="32"/>
          <w:szCs w:val="32"/>
        </w:rPr>
        <w:t>年</w:t>
      </w:r>
      <w:r>
        <w:rPr>
          <w:rFonts w:hint="eastAsia" w:ascii="宋体" w:hAnsi="宋体"/>
          <w:b/>
          <w:bCs/>
          <w:color w:val="000000"/>
          <w:sz w:val="32"/>
          <w:szCs w:val="32"/>
          <w:lang w:val="en-US" w:eastAsia="zh-CN"/>
        </w:rPr>
        <w:t>8</w:t>
      </w:r>
      <w:r>
        <w:rPr>
          <w:rFonts w:hint="eastAsia" w:ascii="宋体" w:hAnsi="宋体"/>
          <w:b/>
          <w:bCs/>
          <w:color w:val="000000"/>
          <w:sz w:val="32"/>
          <w:szCs w:val="32"/>
        </w:rPr>
        <w:t>月</w:t>
      </w:r>
      <w:r>
        <w:rPr>
          <w:rFonts w:ascii="宋体" w:hAnsi="宋体"/>
          <w:b/>
          <w:bCs/>
          <w:color w:val="000000"/>
          <w:sz w:val="32"/>
          <w:szCs w:val="32"/>
        </w:rPr>
        <w:br w:type="page"/>
      </w:r>
      <w:r>
        <w:rPr>
          <w:rFonts w:hint="eastAsia" w:ascii="Times New Roman" w:hAnsi="Times New Roman" w:eastAsia="宋体" w:cs="Times New Roman"/>
          <w:b/>
          <w:bCs/>
          <w:color w:val="000000"/>
          <w:sz w:val="32"/>
          <w:szCs w:val="32"/>
          <w:lang w:val="en-US" w:eastAsia="zh-CN"/>
        </w:rPr>
        <w:t>2023年海口市流通领域</w:t>
      </w:r>
      <w:r>
        <w:rPr>
          <w:rFonts w:hint="default" w:ascii="Times New Roman" w:hAnsi="Times New Roman" w:eastAsia="宋体" w:cs="Times New Roman"/>
          <w:b/>
          <w:bCs/>
          <w:color w:val="000000"/>
          <w:sz w:val="32"/>
          <w:szCs w:val="32"/>
        </w:rPr>
        <w:t>产品质量</w:t>
      </w:r>
      <w:r>
        <w:rPr>
          <w:rFonts w:hint="eastAsia" w:ascii="Times New Roman" w:hAnsi="Times New Roman" w:eastAsia="宋体" w:cs="Times New Roman"/>
          <w:b/>
          <w:bCs/>
          <w:color w:val="000000"/>
          <w:sz w:val="32"/>
          <w:szCs w:val="32"/>
          <w:lang w:val="en-US" w:eastAsia="zh-CN"/>
        </w:rPr>
        <w:t>市级</w:t>
      </w:r>
      <w:r>
        <w:rPr>
          <w:rFonts w:hint="default" w:ascii="Times New Roman" w:hAnsi="Times New Roman" w:eastAsia="宋体" w:cs="Times New Roman"/>
          <w:b/>
          <w:bCs/>
          <w:color w:val="000000"/>
          <w:sz w:val="32"/>
          <w:szCs w:val="32"/>
        </w:rPr>
        <w:t>监督抽查实施细则</w:t>
      </w:r>
    </w:p>
    <w:p>
      <w:pPr>
        <w:adjustRightInd w:val="0"/>
        <w:snapToGrid w:val="0"/>
        <w:spacing w:line="594" w:lineRule="exact"/>
        <w:jc w:val="center"/>
        <w:rPr>
          <w:rFonts w:hint="default" w:ascii="Times New Roman" w:hAnsi="Times New Roman" w:eastAsia="宋体" w:cs="Times New Roman"/>
          <w:b/>
          <w:bCs/>
          <w:color w:val="000000"/>
          <w:sz w:val="32"/>
          <w:szCs w:val="32"/>
        </w:rPr>
      </w:pPr>
      <w:r>
        <w:rPr>
          <w:rFonts w:hint="default" w:ascii="Times New Roman" w:hAnsi="Times New Roman" w:eastAsia="宋体" w:cs="Times New Roman"/>
          <w:b/>
          <w:bCs/>
          <w:color w:val="000000"/>
          <w:sz w:val="32"/>
          <w:szCs w:val="32"/>
        </w:rPr>
        <w:t>(</w:t>
      </w:r>
      <w:r>
        <w:rPr>
          <w:rFonts w:hint="eastAsia" w:ascii="宋体" w:hAnsi="宋体"/>
          <w:b/>
          <w:bCs/>
          <w:color w:val="000000"/>
          <w:sz w:val="32"/>
          <w:szCs w:val="32"/>
          <w:lang w:eastAsia="zh-CN"/>
        </w:rPr>
        <w:t>石油焦碳</w:t>
      </w:r>
      <w:r>
        <w:rPr>
          <w:rFonts w:hint="default" w:ascii="Times New Roman" w:hAnsi="Times New Roman" w:eastAsia="宋体" w:cs="Times New Roman"/>
          <w:b/>
          <w:bCs/>
          <w:color w:val="000000"/>
          <w:sz w:val="32"/>
          <w:szCs w:val="32"/>
        </w:rPr>
        <w:t>)</w:t>
      </w:r>
    </w:p>
    <w:p>
      <w:pPr>
        <w:pStyle w:val="2"/>
      </w:pPr>
    </w:p>
    <w:p>
      <w:pPr>
        <w:snapToGrid w:val="0"/>
        <w:spacing w:line="440" w:lineRule="exact"/>
        <w:rPr>
          <w:rFonts w:hint="eastAsia" w:ascii="黑体" w:hAnsi="黑体" w:eastAsia="黑体" w:cs="黑体"/>
          <w:color w:val="000000"/>
          <w:szCs w:val="21"/>
        </w:rPr>
      </w:pPr>
      <w:r>
        <w:rPr>
          <w:rFonts w:hint="eastAsia" w:ascii="黑体" w:hAnsi="黑体" w:eastAsia="黑体" w:cs="黑体"/>
          <w:color w:val="000000"/>
          <w:szCs w:val="21"/>
        </w:rPr>
        <w:t>1 抽样方法</w:t>
      </w:r>
    </w:p>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以随机抽样的方式在被抽样</w:t>
      </w:r>
      <w:r>
        <w:rPr>
          <w:rFonts w:hint="eastAsia" w:cs="Times New Roman"/>
          <w:color w:val="000000"/>
          <w:szCs w:val="21"/>
          <w:lang w:val="en-US" w:eastAsia="zh-CN"/>
        </w:rPr>
        <w:t>销售者</w:t>
      </w:r>
      <w:r>
        <w:rPr>
          <w:rFonts w:hint="eastAsia" w:ascii="Times New Roman" w:hAnsi="Times New Roman" w:cs="Times New Roman"/>
          <w:color w:val="000000"/>
          <w:szCs w:val="21"/>
        </w:rPr>
        <w:t xml:space="preserve">的待销产品中抽取。 </w:t>
      </w:r>
    </w:p>
    <w:p>
      <w:pPr>
        <w:snapToGrid w:val="0"/>
        <w:spacing w:line="440" w:lineRule="exact"/>
        <w:ind w:firstLine="420" w:firstLineChars="200"/>
        <w:rPr>
          <w:rFonts w:hint="eastAsia" w:ascii="Times New Roman" w:hAnsi="Times New Roman" w:cs="Times New Roman"/>
          <w:color w:val="000000"/>
          <w:szCs w:val="21"/>
          <w:lang w:eastAsia="zh-CN"/>
        </w:rPr>
      </w:pPr>
      <w:r>
        <w:rPr>
          <w:rFonts w:hint="eastAsia" w:ascii="Times New Roman" w:hAnsi="Times New Roman" w:cs="Times New Roman"/>
          <w:color w:val="000000"/>
          <w:szCs w:val="21"/>
        </w:rPr>
        <w:t>随机数一般可使用随机数表等方法产生</w:t>
      </w:r>
      <w:r>
        <w:rPr>
          <w:rFonts w:hint="eastAsia" w:ascii="Times New Roman" w:hAnsi="Times New Roman" w:cs="Times New Roman"/>
          <w:color w:val="000000"/>
          <w:szCs w:val="21"/>
          <w:lang w:eastAsia="zh-CN"/>
        </w:rPr>
        <w:t>。</w:t>
      </w:r>
    </w:p>
    <w:p>
      <w:pPr>
        <w:snapToGrid w:val="0"/>
        <w:spacing w:line="440" w:lineRule="exact"/>
        <w:rPr>
          <w:rFonts w:hint="eastAsia" w:ascii="Times New Roman" w:hAnsi="Times New Roman" w:cs="Times New Roman"/>
          <w:color w:val="000000"/>
          <w:szCs w:val="21"/>
        </w:rPr>
      </w:pPr>
      <w:r>
        <w:rPr>
          <w:rFonts w:hint="eastAsia" w:ascii="Times New Roman" w:hAnsi="Times New Roman" w:cs="Times New Roman"/>
          <w:color w:val="000000"/>
          <w:szCs w:val="21"/>
          <w:lang w:val="en-US" w:eastAsia="zh-CN"/>
        </w:rPr>
        <w:t>1.1</w:t>
      </w:r>
      <w:r>
        <w:rPr>
          <w:rFonts w:hint="eastAsia" w:ascii="Times New Roman" w:hAnsi="Times New Roman" w:cs="Times New Roman"/>
          <w:color w:val="000000"/>
          <w:szCs w:val="21"/>
        </w:rPr>
        <w:t>焦流中采样</w:t>
      </w:r>
    </w:p>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用机械采样器或手工从焦流中采样时，应根据总焦流量计算石油焦的有效流过时间，并在该时间内等时、间隔地采样。每批样的采样份数不能少于五份，试样总量不少于10kg。</w:t>
      </w:r>
    </w:p>
    <w:p>
      <w:pPr>
        <w:snapToGrid w:val="0"/>
        <w:spacing w:line="440" w:lineRule="exact"/>
        <w:rPr>
          <w:rFonts w:hint="eastAsia" w:ascii="Times New Roman" w:hAnsi="Times New Roman" w:cs="Times New Roman"/>
          <w:color w:val="000000"/>
          <w:szCs w:val="21"/>
        </w:rPr>
      </w:pPr>
      <w:r>
        <w:rPr>
          <w:rFonts w:hint="eastAsia" w:ascii="Times New Roman" w:hAnsi="Times New Roman" w:cs="Times New Roman"/>
          <w:color w:val="000000"/>
          <w:szCs w:val="21"/>
        </w:rPr>
        <w:t>1.2运输工具顶部采样</w:t>
      </w:r>
    </w:p>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在运输工具顶部采样时，在同一车上须至少在平均距离的五点上，从表层采取(经长途运输或停放后，应在焦层下0.2~0.3m处采样)，力求试样均匀，增加其代表性。每车的采样量不少于5kg，每批采样的车数按总车数的10%计量(但不能少于两车)，试样总量不少于10kg。</w:t>
      </w:r>
    </w:p>
    <w:p>
      <w:pPr>
        <w:snapToGrid w:val="0"/>
        <w:spacing w:line="440" w:lineRule="exact"/>
        <w:rPr>
          <w:rFonts w:hint="eastAsia" w:ascii="Times New Roman" w:hAnsi="Times New Roman" w:cs="Times New Roman"/>
          <w:color w:val="000000"/>
          <w:szCs w:val="21"/>
        </w:rPr>
      </w:pPr>
      <w:r>
        <w:rPr>
          <w:rFonts w:hint="eastAsia" w:ascii="Times New Roman" w:hAnsi="Times New Roman" w:cs="Times New Roman"/>
          <w:color w:val="000000"/>
          <w:szCs w:val="21"/>
        </w:rPr>
        <w:t>1.3焦堆采样</w:t>
      </w:r>
    </w:p>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焦堆的采样点分布在焦堆表面各距底和顶0.5m和焦堆半高处的三条圆周线上，并分别等间距地布置三、五、八个采样点(见下图)。在各采样点表层(长期堆放后应在焦堆层下0.2~0.3m处)采样不少于0.5kg的石油焦试样，试样总量不少于8kg。</w:t>
      </w:r>
    </w:p>
    <w:p>
      <w:pPr>
        <w:pStyle w:val="2"/>
        <w:jc w:val="center"/>
        <w:rPr>
          <w:rFonts w:hint="eastAsia"/>
        </w:rPr>
      </w:pPr>
      <w:r>
        <w:drawing>
          <wp:inline distT="0" distB="0" distL="114300" distR="114300">
            <wp:extent cx="3027045" cy="2580640"/>
            <wp:effectExtent l="0" t="0" r="190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l="14055" t="6030" r="11400" b="4647"/>
                    <a:stretch>
                      <a:fillRect/>
                    </a:stretch>
                  </pic:blipFill>
                  <pic:spPr>
                    <a:xfrm>
                      <a:off x="0" y="0"/>
                      <a:ext cx="3027045" cy="2580640"/>
                    </a:xfrm>
                    <a:prstGeom prst="rect">
                      <a:avLst/>
                    </a:prstGeom>
                    <a:noFill/>
                    <a:ln>
                      <a:noFill/>
                    </a:ln>
                  </pic:spPr>
                </pic:pic>
              </a:graphicData>
            </a:graphic>
          </wp:inline>
        </w:drawing>
      </w:r>
    </w:p>
    <w:p>
      <w:pPr>
        <w:snapToGrid w:val="0"/>
        <w:spacing w:line="440" w:lineRule="exact"/>
        <w:rPr>
          <w:rFonts w:hint="eastAsia" w:ascii="黑体" w:hAnsi="黑体" w:eastAsia="黑体" w:cs="黑体"/>
          <w:color w:val="000000"/>
          <w:szCs w:val="21"/>
        </w:rPr>
      </w:pPr>
      <w:r>
        <w:rPr>
          <w:rFonts w:hint="eastAsia" w:ascii="黑体" w:hAnsi="黑体" w:eastAsia="黑体" w:cs="黑体"/>
          <w:color w:val="000000"/>
          <w:szCs w:val="21"/>
        </w:rPr>
        <w:t>2 检验依据</w:t>
      </w:r>
    </w:p>
    <w:tbl>
      <w:tblPr>
        <w:tblStyle w:val="16"/>
        <w:tblW w:w="7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3607"/>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tcPr>
          <w:p>
            <w:pP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序号</w:t>
            </w:r>
          </w:p>
        </w:tc>
        <w:tc>
          <w:tcPr>
            <w:tcW w:w="3607" w:type="dxa"/>
          </w:tcPr>
          <w:p>
            <w:pP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检验项目</w:t>
            </w:r>
          </w:p>
        </w:tc>
        <w:tc>
          <w:tcPr>
            <w:tcW w:w="2494" w:type="dxa"/>
          </w:tcPr>
          <w:p>
            <w:pPr>
              <w:rPr>
                <w:rFonts w:hint="eastAsia" w:ascii="Times New Roman" w:hAnsi="Times New Roman" w:eastAsia="宋体"/>
                <w:sz w:val="21"/>
                <w:vertAlign w:val="baseline"/>
                <w:lang w:eastAsia="zh-CN"/>
              </w:rPr>
            </w:pPr>
            <w:r>
              <w:rPr>
                <w:rFonts w:hint="eastAsia" w:ascii="Times New Roman" w:hAnsi="Times New Roman" w:eastAsia="宋体"/>
                <w:sz w:val="21"/>
                <w:vertAlign w:val="baseline"/>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tcPr>
          <w:p>
            <w:pPr>
              <w:rPr>
                <w:rFonts w:hint="default"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1</w:t>
            </w:r>
          </w:p>
        </w:tc>
        <w:tc>
          <w:tcPr>
            <w:tcW w:w="3607" w:type="dxa"/>
          </w:tcPr>
          <w:p>
            <w:pPr>
              <w:rPr>
                <w:rFonts w:hint="eastAsia" w:ascii="Times New Roman" w:hAnsi="Times New Roman" w:eastAsia="宋体"/>
                <w:sz w:val="21"/>
                <w:vertAlign w:val="baseline"/>
                <w:lang w:eastAsia="zh-CN"/>
              </w:rPr>
            </w:pPr>
            <w:r>
              <w:rPr>
                <w:rFonts w:hint="eastAsia"/>
                <w:sz w:val="21"/>
                <w:vertAlign w:val="baseline"/>
                <w:lang w:eastAsia="zh-CN"/>
              </w:rPr>
              <w:t>钙含量</w:t>
            </w:r>
          </w:p>
        </w:tc>
        <w:tc>
          <w:tcPr>
            <w:tcW w:w="2494" w:type="dxa"/>
          </w:tcPr>
          <w:p>
            <w:pPr>
              <w:rPr>
                <w:rFonts w:hint="default" w:ascii="Times New Roman" w:hAnsi="Times New Roman" w:eastAsia="宋体"/>
                <w:sz w:val="21"/>
                <w:vertAlign w:val="baseline"/>
                <w:lang w:val="en-US" w:eastAsia="zh-CN"/>
              </w:rPr>
            </w:pPr>
            <w:r>
              <w:rPr>
                <w:rFonts w:hint="eastAsia"/>
                <w:sz w:val="21"/>
                <w:vertAlign w:val="baseline"/>
                <w:lang w:val="en-US" w:eastAsia="zh-CN"/>
              </w:rPr>
              <w:t>SN/T 1830-2006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tcPr>
          <w:p>
            <w:pP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2</w:t>
            </w:r>
          </w:p>
        </w:tc>
        <w:tc>
          <w:tcPr>
            <w:tcW w:w="3607" w:type="dxa"/>
          </w:tcPr>
          <w:p>
            <w:pPr>
              <w:rPr>
                <w:rFonts w:hint="eastAsia" w:ascii="Times New Roman" w:hAnsi="Times New Roman" w:eastAsia="宋体"/>
                <w:sz w:val="21"/>
                <w:vertAlign w:val="baseline"/>
                <w:lang w:eastAsia="zh-CN"/>
              </w:rPr>
            </w:pPr>
            <w:r>
              <w:rPr>
                <w:rFonts w:hint="eastAsia"/>
                <w:sz w:val="21"/>
                <w:vertAlign w:val="baseline"/>
                <w:lang w:eastAsia="zh-CN"/>
              </w:rPr>
              <w:t>铁含量</w:t>
            </w:r>
          </w:p>
        </w:tc>
        <w:tc>
          <w:tcPr>
            <w:tcW w:w="2494" w:type="dxa"/>
          </w:tcPr>
          <w:p>
            <w:pPr>
              <w:rPr>
                <w:rFonts w:hint="default" w:ascii="Times New Roman" w:hAnsi="Times New Roman" w:eastAsia="宋体"/>
                <w:sz w:val="21"/>
                <w:vertAlign w:val="baseline"/>
                <w:lang w:val="en-US"/>
              </w:rPr>
            </w:pPr>
            <w:r>
              <w:rPr>
                <w:rFonts w:hint="eastAsia"/>
                <w:sz w:val="21"/>
                <w:vertAlign w:val="baseline"/>
                <w:lang w:val="en-US" w:eastAsia="zh-CN"/>
              </w:rPr>
              <w:t>SN/T 1830-2006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tcPr>
          <w:p>
            <w:pPr>
              <w:rPr>
                <w:rFonts w:hint="default"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3</w:t>
            </w:r>
          </w:p>
        </w:tc>
        <w:tc>
          <w:tcPr>
            <w:tcW w:w="3607" w:type="dxa"/>
          </w:tcPr>
          <w:p>
            <w:pPr>
              <w:rPr>
                <w:rFonts w:hint="eastAsia" w:ascii="Times New Roman" w:hAnsi="Times New Roman" w:eastAsia="宋体"/>
                <w:sz w:val="21"/>
                <w:vertAlign w:val="baseline"/>
                <w:lang w:eastAsia="zh-CN"/>
              </w:rPr>
            </w:pPr>
            <w:r>
              <w:rPr>
                <w:rFonts w:hint="eastAsia"/>
                <w:sz w:val="21"/>
                <w:vertAlign w:val="baseline"/>
                <w:lang w:eastAsia="zh-CN"/>
              </w:rPr>
              <w:t>镍含量</w:t>
            </w:r>
          </w:p>
        </w:tc>
        <w:tc>
          <w:tcPr>
            <w:tcW w:w="2494" w:type="dxa"/>
          </w:tcPr>
          <w:p>
            <w:pPr>
              <w:rPr>
                <w:rFonts w:hint="default" w:ascii="Times New Roman" w:hAnsi="Times New Roman" w:eastAsia="宋体"/>
                <w:sz w:val="21"/>
                <w:vertAlign w:val="baseline"/>
                <w:lang w:val="en-US"/>
              </w:rPr>
            </w:pPr>
            <w:r>
              <w:rPr>
                <w:rFonts w:hint="eastAsia"/>
                <w:sz w:val="21"/>
                <w:vertAlign w:val="baseline"/>
                <w:lang w:val="en-US" w:eastAsia="zh-CN"/>
              </w:rPr>
              <w:t>SN/T 1830-2006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5" w:type="dxa"/>
          </w:tcPr>
          <w:p>
            <w:pPr>
              <w:rPr>
                <w:rFonts w:hint="eastAsia" w:ascii="Times New Roman" w:hAnsi="Times New Roman" w:eastAsia="宋体"/>
                <w:sz w:val="21"/>
                <w:vertAlign w:val="baseline"/>
                <w:lang w:val="en-US" w:eastAsia="zh-CN"/>
              </w:rPr>
            </w:pPr>
            <w:r>
              <w:rPr>
                <w:rFonts w:hint="eastAsia" w:ascii="Times New Roman" w:hAnsi="Times New Roman" w:eastAsia="宋体"/>
                <w:sz w:val="21"/>
                <w:vertAlign w:val="baseline"/>
                <w:lang w:val="en-US" w:eastAsia="zh-CN"/>
              </w:rPr>
              <w:t>4</w:t>
            </w:r>
          </w:p>
        </w:tc>
        <w:tc>
          <w:tcPr>
            <w:tcW w:w="3607" w:type="dxa"/>
          </w:tcPr>
          <w:p>
            <w:pPr>
              <w:rPr>
                <w:rFonts w:hint="default" w:ascii="Times New Roman" w:hAnsi="Times New Roman" w:eastAsia="宋体"/>
                <w:sz w:val="21"/>
                <w:vertAlign w:val="baseline"/>
                <w:lang w:val="en-US" w:eastAsia="zh-CN"/>
              </w:rPr>
            </w:pPr>
            <w:r>
              <w:rPr>
                <w:rFonts w:hint="eastAsia"/>
                <w:sz w:val="21"/>
                <w:vertAlign w:val="baseline"/>
                <w:lang w:val="en-US" w:eastAsia="zh-CN"/>
              </w:rPr>
              <w:t>钠含量</w:t>
            </w:r>
          </w:p>
        </w:tc>
        <w:tc>
          <w:tcPr>
            <w:tcW w:w="2494" w:type="dxa"/>
          </w:tcPr>
          <w:p>
            <w:pPr>
              <w:rPr>
                <w:rFonts w:hint="default" w:ascii="Times New Roman" w:hAnsi="Times New Roman" w:eastAsia="宋体"/>
                <w:sz w:val="21"/>
                <w:vertAlign w:val="baseline"/>
                <w:lang w:val="en-US"/>
              </w:rPr>
            </w:pPr>
            <w:r>
              <w:rPr>
                <w:rFonts w:hint="eastAsia"/>
                <w:sz w:val="21"/>
                <w:vertAlign w:val="baseline"/>
                <w:lang w:val="en-US" w:eastAsia="zh-CN"/>
              </w:rPr>
              <w:t>SN/T 1830-2006</w:t>
            </w:r>
          </w:p>
        </w:tc>
      </w:tr>
    </w:tbl>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执行企业标准、团体标准、地方标准的产品，检验项目参照上述内容执行。</w:t>
      </w:r>
    </w:p>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snapToGrid w:val="0"/>
        <w:spacing w:line="440" w:lineRule="exact"/>
        <w:rPr>
          <w:rFonts w:hint="eastAsia" w:ascii="黑体" w:hAnsi="黑体" w:eastAsia="黑体" w:cs="黑体"/>
          <w:color w:val="000000"/>
          <w:szCs w:val="21"/>
        </w:rPr>
      </w:pPr>
      <w:r>
        <w:rPr>
          <w:rFonts w:hint="eastAsia" w:ascii="黑体" w:hAnsi="黑体" w:eastAsia="黑体" w:cs="黑体"/>
          <w:color w:val="000000"/>
          <w:szCs w:val="21"/>
        </w:rPr>
        <w:t>3 判定规则</w:t>
      </w:r>
    </w:p>
    <w:p>
      <w:pPr>
        <w:snapToGrid w:val="0"/>
        <w:spacing w:line="440" w:lineRule="exact"/>
        <w:rPr>
          <w:rFonts w:hint="eastAsia" w:ascii="Times New Roman" w:hAnsi="Times New Roman" w:cs="Times New Roman"/>
          <w:color w:val="000000"/>
          <w:szCs w:val="21"/>
        </w:rPr>
      </w:pPr>
      <w:r>
        <w:rPr>
          <w:rFonts w:hint="eastAsia" w:ascii="Times New Roman" w:hAnsi="Times New Roman" w:cs="Times New Roman"/>
          <w:color w:val="000000"/>
          <w:szCs w:val="21"/>
        </w:rPr>
        <w:t>3.1依据标准</w:t>
      </w:r>
    </w:p>
    <w:p>
      <w:pPr>
        <w:snapToGrid w:val="0"/>
        <w:spacing w:line="440" w:lineRule="exact"/>
        <w:ind w:firstLine="420" w:firstLineChars="200"/>
        <w:rPr>
          <w:rFonts w:hint="eastAsia" w:ascii="Times New Roman" w:hAnsi="Times New Roman" w:cs="Times New Roman"/>
          <w:color w:val="000000"/>
          <w:szCs w:val="21"/>
          <w:lang w:val="en-US" w:eastAsia="zh-CN"/>
        </w:rPr>
      </w:pPr>
      <w:bookmarkStart w:id="0" w:name="_Hlk32567754"/>
      <w:r>
        <w:rPr>
          <w:rFonts w:hint="eastAsia" w:ascii="Times New Roman" w:hAnsi="Times New Roman" w:cs="Times New Roman"/>
          <w:color w:val="000000"/>
          <w:szCs w:val="21"/>
          <w:lang w:val="en-US" w:eastAsia="zh-CN"/>
        </w:rPr>
        <w:t>SN/T 1830-2006 石油焦炭中钙、铁、镍、钠含量测定原子吸收光谱法(AAS)</w:t>
      </w:r>
    </w:p>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现行有效的企业标准、团体标准、地方标准及产品明示质量要求</w:t>
      </w:r>
    </w:p>
    <w:bookmarkEnd w:id="0"/>
    <w:p>
      <w:pPr>
        <w:snapToGrid w:val="0"/>
        <w:spacing w:line="440" w:lineRule="exact"/>
        <w:rPr>
          <w:rFonts w:hint="eastAsia" w:ascii="Times New Roman" w:hAnsi="Times New Roman" w:cs="Times New Roman"/>
          <w:color w:val="000000"/>
          <w:szCs w:val="21"/>
        </w:rPr>
      </w:pPr>
      <w:r>
        <w:rPr>
          <w:rFonts w:hint="eastAsia" w:ascii="Times New Roman" w:hAnsi="Times New Roman" w:cs="Times New Roman"/>
          <w:color w:val="000000"/>
          <w:szCs w:val="21"/>
        </w:rPr>
        <w:t>3.2判定原则</w:t>
      </w:r>
    </w:p>
    <w:p>
      <w:pPr>
        <w:snapToGrid w:val="0"/>
        <w:spacing w:line="440" w:lineRule="exact"/>
        <w:ind w:firstLine="420" w:firstLineChars="200"/>
        <w:rPr>
          <w:rFonts w:hint="eastAsia" w:ascii="Times New Roman" w:hAnsi="Times New Roman" w:cs="Times New Roman"/>
          <w:color w:val="000000"/>
          <w:szCs w:val="21"/>
        </w:rPr>
      </w:pPr>
      <w:bookmarkStart w:id="1" w:name="_Hlk33514746"/>
      <w:r>
        <w:rPr>
          <w:rFonts w:hint="eastAsia" w:ascii="Times New Roman" w:hAnsi="Times New Roman" w:cs="Times New Roman"/>
          <w:color w:val="000000"/>
          <w:szCs w:val="21"/>
        </w:rPr>
        <w:t>经检验，检验项目全部合格，判定为被抽查产品合格；检验项目中任一项或一项以上不合格，判定为被抽查产品不合格。</w:t>
      </w:r>
    </w:p>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若被检产品明示的质量要求高于本细则中检验项目依据的标准要求时，应按被检产品明示的质量要求判定。</w:t>
      </w:r>
    </w:p>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若被检产品明示的质量要求低于本细则中检验项目依据的强制性标准要求时，应按照强制性标准要求判定。</w:t>
      </w:r>
    </w:p>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若被检产品明示的质量要求低于或包含本细则中检验项目依据的推荐性标准要求时，应以被检产品明示的质量要求判定。</w:t>
      </w:r>
    </w:p>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若被检产品明示的质量要求缺少本细则中检验项目依据的强制性标准要求时，应按照强制性标准要求判定。</w:t>
      </w:r>
    </w:p>
    <w:p>
      <w:pPr>
        <w:snapToGrid w:val="0"/>
        <w:spacing w:line="440" w:lineRule="exact"/>
        <w:ind w:firstLine="420" w:firstLineChars="200"/>
        <w:rPr>
          <w:rFonts w:hint="eastAsia" w:ascii="Times New Roman" w:hAnsi="Times New Roman" w:cs="Times New Roman"/>
          <w:color w:val="000000"/>
          <w:szCs w:val="21"/>
        </w:rPr>
      </w:pPr>
      <w:r>
        <w:rPr>
          <w:rFonts w:hint="eastAsia" w:ascii="Times New Roman" w:hAnsi="Times New Roman" w:cs="Times New Roman"/>
          <w:color w:val="000000"/>
          <w:szCs w:val="21"/>
        </w:rPr>
        <w:t>若被检产品明示的质量要求缺少本细则中检验项目依据的推荐性标准要求时，该项目不参与判定。</w:t>
      </w:r>
      <w:bookmarkEnd w:id="1"/>
    </w:p>
    <w:p>
      <w:pPr>
        <w:snapToGrid w:val="0"/>
        <w:spacing w:line="440" w:lineRule="exact"/>
        <w:ind w:firstLine="420" w:firstLineChars="200"/>
        <w:rPr>
          <w:rFonts w:hint="eastAsia" w:ascii="Times New Roman" w:hAnsi="Times New Roman" w:cs="Times New Roman"/>
          <w:color w:val="000000"/>
          <w:szCs w:val="21"/>
        </w:rPr>
      </w:pPr>
    </w:p>
    <w:p>
      <w:pPr>
        <w:snapToGrid w:val="0"/>
        <w:spacing w:line="440" w:lineRule="exact"/>
        <w:ind w:firstLine="361" w:firstLineChars="171"/>
        <w:rPr>
          <w:b/>
          <w:bCs/>
          <w:color w:val="000000"/>
          <w:szCs w:val="21"/>
        </w:rPr>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N2NhN2QyMzU1MTcxNDliZmE1ZTlmNWEzOWVjNGIifQ=="/>
  </w:docVars>
  <w:rsids>
    <w:rsidRoot w:val="79D96364"/>
    <w:rsid w:val="00B43152"/>
    <w:rsid w:val="00CB0B01"/>
    <w:rsid w:val="0451649D"/>
    <w:rsid w:val="05DF47BA"/>
    <w:rsid w:val="06ED369B"/>
    <w:rsid w:val="078B4DE6"/>
    <w:rsid w:val="086C5ED5"/>
    <w:rsid w:val="08920043"/>
    <w:rsid w:val="09317E4D"/>
    <w:rsid w:val="0AB27349"/>
    <w:rsid w:val="0B175121"/>
    <w:rsid w:val="0B216AE0"/>
    <w:rsid w:val="0CAF1ED7"/>
    <w:rsid w:val="0CDB11FA"/>
    <w:rsid w:val="0DDF1329"/>
    <w:rsid w:val="0E1D016B"/>
    <w:rsid w:val="0E207D89"/>
    <w:rsid w:val="0E5D20A0"/>
    <w:rsid w:val="0F430A15"/>
    <w:rsid w:val="0FA630AF"/>
    <w:rsid w:val="105D4C78"/>
    <w:rsid w:val="11AE5794"/>
    <w:rsid w:val="11B802E0"/>
    <w:rsid w:val="14015B41"/>
    <w:rsid w:val="1530549D"/>
    <w:rsid w:val="16043A29"/>
    <w:rsid w:val="18E77D88"/>
    <w:rsid w:val="1E597571"/>
    <w:rsid w:val="1E950ACD"/>
    <w:rsid w:val="1FA80407"/>
    <w:rsid w:val="21BF42D7"/>
    <w:rsid w:val="24785B9A"/>
    <w:rsid w:val="24B6095C"/>
    <w:rsid w:val="2581179E"/>
    <w:rsid w:val="28057CCD"/>
    <w:rsid w:val="28121907"/>
    <w:rsid w:val="2898430F"/>
    <w:rsid w:val="289B4674"/>
    <w:rsid w:val="2A4E6A6D"/>
    <w:rsid w:val="2A5D4007"/>
    <w:rsid w:val="2B5B0E29"/>
    <w:rsid w:val="2BC34727"/>
    <w:rsid w:val="2C8D553A"/>
    <w:rsid w:val="2F0E643D"/>
    <w:rsid w:val="3193401D"/>
    <w:rsid w:val="33943EB8"/>
    <w:rsid w:val="375E7AC7"/>
    <w:rsid w:val="38327AD8"/>
    <w:rsid w:val="38EC0A91"/>
    <w:rsid w:val="3BFD007D"/>
    <w:rsid w:val="3D611518"/>
    <w:rsid w:val="3DE538D7"/>
    <w:rsid w:val="3E9617D1"/>
    <w:rsid w:val="45C11FF8"/>
    <w:rsid w:val="46677785"/>
    <w:rsid w:val="4756027D"/>
    <w:rsid w:val="47C04622"/>
    <w:rsid w:val="4B57534E"/>
    <w:rsid w:val="4C101DDA"/>
    <w:rsid w:val="4D685089"/>
    <w:rsid w:val="4DB03E86"/>
    <w:rsid w:val="4E774FB6"/>
    <w:rsid w:val="4EE65F25"/>
    <w:rsid w:val="4FC87E19"/>
    <w:rsid w:val="51D5647D"/>
    <w:rsid w:val="53B242A1"/>
    <w:rsid w:val="54BE1312"/>
    <w:rsid w:val="56CF35E7"/>
    <w:rsid w:val="5C6006E7"/>
    <w:rsid w:val="5D4E4BCE"/>
    <w:rsid w:val="5EAB2C10"/>
    <w:rsid w:val="5F553D3A"/>
    <w:rsid w:val="6151020B"/>
    <w:rsid w:val="625F4D3D"/>
    <w:rsid w:val="653A6D95"/>
    <w:rsid w:val="676C5A62"/>
    <w:rsid w:val="69260064"/>
    <w:rsid w:val="6C045675"/>
    <w:rsid w:val="6DFC5070"/>
    <w:rsid w:val="6FD84114"/>
    <w:rsid w:val="7114324D"/>
    <w:rsid w:val="71EC574C"/>
    <w:rsid w:val="72B039DC"/>
    <w:rsid w:val="763E04C6"/>
    <w:rsid w:val="79D96364"/>
    <w:rsid w:val="7A3E09C0"/>
    <w:rsid w:val="7E9545DF"/>
    <w:rsid w:val="7FA5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8"/>
    <w:qFormat/>
    <w:uiPriority w:val="0"/>
    <w:pPr>
      <w:keepNext/>
      <w:keepLines/>
      <w:spacing w:beforeLines="0" w:beforeAutospacing="0" w:afterLines="0" w:afterAutospacing="0" w:line="360" w:lineRule="auto"/>
      <w:jc w:val="center"/>
      <w:outlineLvl w:val="0"/>
    </w:pPr>
    <w:rPr>
      <w:rFonts w:cs="Times New Roman"/>
      <w:b/>
      <w:kern w:val="44"/>
      <w:sz w:val="28"/>
    </w:rPr>
  </w:style>
  <w:style w:type="paragraph" w:styleId="5">
    <w:name w:val="heading 2"/>
    <w:basedOn w:val="1"/>
    <w:next w:val="1"/>
    <w:link w:val="22"/>
    <w:semiHidden/>
    <w:unhideWhenUsed/>
    <w:qFormat/>
    <w:uiPriority w:val="0"/>
    <w:pPr>
      <w:keepNext/>
      <w:keepLines/>
      <w:spacing w:line="360" w:lineRule="auto"/>
      <w:ind w:left="0" w:leftChars="100" w:hanging="567"/>
      <w:jc w:val="left"/>
      <w:outlineLvl w:val="1"/>
    </w:pPr>
    <w:rPr>
      <w:rFonts w:cs="Times New Roman"/>
      <w:b/>
      <w:bCs/>
      <w:sz w:val="28"/>
      <w:szCs w:val="32"/>
    </w:rPr>
  </w:style>
  <w:style w:type="paragraph" w:styleId="6">
    <w:name w:val="heading 3"/>
    <w:basedOn w:val="1"/>
    <w:next w:val="7"/>
    <w:link w:val="21"/>
    <w:semiHidden/>
    <w:unhideWhenUsed/>
    <w:qFormat/>
    <w:uiPriority w:val="0"/>
    <w:pPr>
      <w:keepNext/>
      <w:keepLines/>
      <w:spacing w:line="360" w:lineRule="auto"/>
      <w:ind w:left="709" w:hanging="709"/>
      <w:outlineLvl w:val="2"/>
    </w:pPr>
    <w:rPr>
      <w:rFonts w:cs="Times New Roman"/>
      <w:b/>
      <w:bCs/>
      <w:szCs w:val="32"/>
    </w:rPr>
  </w:style>
  <w:style w:type="paragraph" w:styleId="8">
    <w:name w:val="heading 4"/>
    <w:basedOn w:val="1"/>
    <w:next w:val="1"/>
    <w:link w:val="20"/>
    <w:semiHidden/>
    <w:unhideWhenUsed/>
    <w:qFormat/>
    <w:uiPriority w:val="0"/>
    <w:pPr>
      <w:keepNext/>
      <w:keepLines/>
      <w:spacing w:line="360" w:lineRule="auto"/>
      <w:ind w:firstLine="0" w:firstLineChars="0"/>
      <w:outlineLvl w:val="3"/>
    </w:pPr>
    <w:rPr>
      <w:b/>
      <w:bCs/>
      <w:szCs w:val="28"/>
    </w:rPr>
  </w:style>
  <w:style w:type="paragraph" w:styleId="9">
    <w:name w:val="heading 5"/>
    <w:basedOn w:val="1"/>
    <w:next w:val="1"/>
    <w:link w:val="23"/>
    <w:semiHidden/>
    <w:unhideWhenUsed/>
    <w:qFormat/>
    <w:uiPriority w:val="0"/>
    <w:pPr>
      <w:keepNext/>
      <w:keepLines/>
      <w:spacing w:beforeLines="0" w:beforeAutospacing="0" w:afterLines="0" w:afterAutospacing="0" w:line="360" w:lineRule="auto"/>
      <w:jc w:val="left"/>
      <w:outlineLvl w:val="4"/>
    </w:pPr>
    <w:rPr>
      <w:rFonts w:ascii="宋体" w:hAnsi="宋体" w:cs="Times New Roman"/>
    </w:rPr>
  </w:style>
  <w:style w:type="paragraph" w:styleId="3">
    <w:name w:val="heading 6"/>
    <w:basedOn w:val="1"/>
    <w:next w:val="1"/>
    <w:link w:val="24"/>
    <w:semiHidden/>
    <w:unhideWhenUsed/>
    <w:qFormat/>
    <w:uiPriority w:val="0"/>
    <w:pPr>
      <w:keepNext/>
      <w:keepLines/>
      <w:spacing w:beforeLines="0" w:beforeAutospacing="0" w:afterLines="0" w:afterAutospacing="0" w:line="360" w:lineRule="auto"/>
      <w:ind w:left="-164" w:firstLine="403" w:firstLineChars="0"/>
      <w:outlineLvl w:val="5"/>
    </w:pPr>
    <w:rPr>
      <w:rFonts w:ascii="宋体" w:hAnsi="宋体" w:cs="Times New Roman"/>
    </w:rPr>
  </w:style>
  <w:style w:type="paragraph" w:styleId="10">
    <w:name w:val="heading 7"/>
    <w:basedOn w:val="1"/>
    <w:next w:val="1"/>
    <w:semiHidden/>
    <w:unhideWhenUsed/>
    <w:qFormat/>
    <w:uiPriority w:val="0"/>
    <w:pPr>
      <w:keepNext/>
      <w:keepLines/>
      <w:spacing w:beforeLines="0" w:beforeAutospacing="0" w:afterLines="0" w:afterAutospacing="0" w:line="360" w:lineRule="auto"/>
      <w:outlineLvl w:val="6"/>
    </w:pPr>
    <w:rPr>
      <w:rFonts w:cstheme="minorBidi"/>
      <w:kern w:val="2"/>
      <w:szCs w:val="24"/>
      <w:lang w:eastAsia="zh-CN"/>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7">
    <w:name w:val="Normal Indent"/>
    <w:basedOn w:val="1"/>
    <w:qFormat/>
    <w:uiPriority w:val="0"/>
    <w:pPr>
      <w:ind w:firstLine="420" w:firstLineChars="200"/>
    </w:pPr>
  </w:style>
  <w:style w:type="paragraph" w:styleId="11">
    <w:name w:val="toa heading"/>
    <w:basedOn w:val="1"/>
    <w:next w:val="1"/>
    <w:qFormat/>
    <w:uiPriority w:val="0"/>
    <w:pPr>
      <w:spacing w:before="120" w:beforeLines="0" w:beforeAutospacing="0"/>
    </w:pPr>
    <w:rPr>
      <w:rFonts w:ascii="Arial" w:hAnsi="Arial"/>
      <w:sz w:val="24"/>
    </w:rPr>
  </w:style>
  <w:style w:type="paragraph" w:styleId="12">
    <w:name w:val="Body Text Indent"/>
    <w:basedOn w:val="1"/>
    <w:qFormat/>
    <w:uiPriority w:val="0"/>
    <w:pPr>
      <w:spacing w:after="120" w:afterLines="0" w:afterAutospacing="0"/>
      <w:ind w:left="420" w:leftChars="200"/>
    </w:pPr>
  </w:style>
  <w:style w:type="paragraph" w:styleId="13">
    <w:name w:val="footer"/>
    <w:basedOn w:val="1"/>
    <w:qFormat/>
    <w:uiPriority w:val="0"/>
    <w:pPr>
      <w:tabs>
        <w:tab w:val="center" w:pos="4153"/>
        <w:tab w:val="right" w:pos="8306"/>
      </w:tabs>
      <w:snapToGrid w:val="0"/>
      <w:jc w:val="left"/>
    </w:pPr>
    <w:rPr>
      <w:sz w:val="18"/>
    </w:rPr>
  </w:style>
  <w:style w:type="paragraph" w:styleId="14">
    <w:name w:val="Body Text First Indent 2"/>
    <w:basedOn w:val="12"/>
    <w:next w:val="1"/>
    <w:qFormat/>
    <w:uiPriority w:val="0"/>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标题 1 Char"/>
    <w:link w:val="4"/>
    <w:qFormat/>
    <w:uiPriority w:val="0"/>
    <w:rPr>
      <w:rFonts w:ascii="宋体" w:hAnsi="宋体" w:eastAsia="宋体" w:cs="Times New Roman"/>
      <w:b/>
      <w:kern w:val="44"/>
      <w:sz w:val="28"/>
    </w:rPr>
  </w:style>
  <w:style w:type="paragraph" w:customStyle="1" w:styleId="19">
    <w:name w:val="标题5"/>
    <w:basedOn w:val="1"/>
    <w:next w:val="1"/>
    <w:qFormat/>
    <w:uiPriority w:val="0"/>
    <w:pPr>
      <w:keepNext/>
      <w:keepLines/>
      <w:spacing w:before="260" w:beforeLines="0" w:after="260" w:afterLines="0"/>
      <w:outlineLvl w:val="1"/>
    </w:pPr>
    <w:rPr>
      <w:rFonts w:hint="eastAsia" w:eastAsia="华文中宋"/>
    </w:rPr>
  </w:style>
  <w:style w:type="character" w:customStyle="1" w:styleId="20">
    <w:name w:val="标题 4 Char"/>
    <w:link w:val="8"/>
    <w:qFormat/>
    <w:uiPriority w:val="0"/>
    <w:rPr>
      <w:rFonts w:ascii="宋体" w:hAnsi="宋体" w:eastAsia="宋体" w:cs="宋体"/>
      <w:b/>
      <w:bCs/>
      <w:kern w:val="2"/>
      <w:szCs w:val="28"/>
      <w:lang w:eastAsia="zh-CN"/>
    </w:rPr>
  </w:style>
  <w:style w:type="character" w:customStyle="1" w:styleId="21">
    <w:name w:val="标题 3 Char"/>
    <w:link w:val="6"/>
    <w:qFormat/>
    <w:uiPriority w:val="0"/>
    <w:rPr>
      <w:rFonts w:ascii="宋体" w:hAnsi="宋体" w:eastAsia="宋体" w:cs="Times New Roman"/>
      <w:b/>
      <w:bCs/>
      <w:sz w:val="24"/>
      <w:szCs w:val="32"/>
    </w:rPr>
  </w:style>
  <w:style w:type="character" w:customStyle="1" w:styleId="22">
    <w:name w:val="标题 2 Char"/>
    <w:link w:val="5"/>
    <w:qFormat/>
    <w:uiPriority w:val="0"/>
    <w:rPr>
      <w:rFonts w:ascii="宋体" w:hAnsi="宋体" w:eastAsia="宋体" w:cs="Times New Roman"/>
      <w:b/>
      <w:bCs/>
      <w:sz w:val="28"/>
      <w:szCs w:val="32"/>
    </w:rPr>
  </w:style>
  <w:style w:type="character" w:customStyle="1" w:styleId="23">
    <w:name w:val="标题 5 Char"/>
    <w:link w:val="9"/>
    <w:qFormat/>
    <w:uiPriority w:val="0"/>
    <w:rPr>
      <w:rFonts w:ascii="宋体" w:hAnsi="宋体" w:eastAsia="宋体" w:cs="Times New Roman"/>
    </w:rPr>
  </w:style>
  <w:style w:type="character" w:customStyle="1" w:styleId="24">
    <w:name w:val="标题 6 Char"/>
    <w:link w:val="3"/>
    <w:qFormat/>
    <w:uiPriority w:val="0"/>
    <w:rPr>
      <w:rFonts w:ascii="宋体" w:hAnsi="宋体"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924</Words>
  <Characters>1035</Characters>
  <Lines>0</Lines>
  <Paragraphs>0</Paragraphs>
  <TotalTime>0</TotalTime>
  <ScaleCrop>false</ScaleCrop>
  <LinksUpToDate>false</LinksUpToDate>
  <CharactersWithSpaces>1045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2021-09-23T07:21:00Z</dcterms:created>
  <dc:creator>Administrator</dc:creator>
  <cp:lastModifiedBy>沙漠哭泣骆驼笑了（ouyanghong)</cp:lastModifiedBy>
  <dcterms:modified xsi:type="dcterms:W3CDTF">2023-08-21T06:46:31Z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3F39B1F4861447A486E98B152F8F0D3F</vt:lpwstr>
  </property>
</Properties>
</file>