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黑体"/>
          <w:b/>
          <w:color w:val="000000"/>
          <w:sz w:val="32"/>
          <w:szCs w:val="32"/>
        </w:rPr>
      </w:pPr>
      <w:r>
        <w:rPr>
          <w:rFonts w:hint="eastAsia" w:ascii="宋体" w:hAnsi="宋体" w:cs="黑体"/>
          <w:b/>
          <w:color w:val="000000"/>
          <w:sz w:val="32"/>
          <w:szCs w:val="32"/>
        </w:rPr>
        <w:t>海口市市场监督管理局</w:t>
      </w:r>
    </w:p>
    <w:p>
      <w:pPr>
        <w:snapToGrid w:val="0"/>
        <w:spacing w:line="440" w:lineRule="exact"/>
        <w:ind w:firstLine="643" w:firstLineChars="200"/>
        <w:jc w:val="center"/>
        <w:rPr>
          <w:rFonts w:hint="eastAsia" w:ascii="宋体" w:hAnsi="宋体" w:cs="黑体"/>
          <w:b/>
          <w:color w:val="000000"/>
          <w:sz w:val="32"/>
          <w:szCs w:val="32"/>
        </w:rPr>
      </w:pPr>
      <w:r>
        <w:rPr>
          <w:rFonts w:hint="eastAsia" w:ascii="宋体" w:hAnsi="宋体" w:cs="黑体"/>
          <w:b/>
          <w:color w:val="000000"/>
          <w:sz w:val="32"/>
          <w:szCs w:val="32"/>
        </w:rPr>
        <w:t>2023年产品质量市级监督抽查实施细则（软体家具弹簧软床垫）</w:t>
      </w:r>
    </w:p>
    <w:p>
      <w:pPr>
        <w:snapToGrid w:val="0"/>
        <w:spacing w:line="440" w:lineRule="exact"/>
        <w:ind w:firstLine="643" w:firstLineChars="200"/>
        <w:jc w:val="center"/>
        <w:rPr>
          <w:rFonts w:hint="eastAsia" w:ascii="宋体" w:hAnsi="宋体" w:cs="黑体"/>
          <w:b/>
          <w:color w:val="000000"/>
          <w:sz w:val="32"/>
          <w:szCs w:val="32"/>
        </w:rPr>
      </w:pPr>
    </w:p>
    <w:p>
      <w:pPr>
        <w:snapToGrid w:val="0"/>
        <w:spacing w:line="440" w:lineRule="exact"/>
        <w:ind w:firstLine="643" w:firstLineChars="200"/>
        <w:jc w:val="center"/>
        <w:rPr>
          <w:rFonts w:hint="eastAsia" w:ascii="宋体" w:hAnsi="宋体" w:cstheme="minorBidi"/>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pStyle w:val="6"/>
        <w:ind w:firstLine="420"/>
        <w:rPr>
          <w:rFonts w:hint="eastAsia"/>
        </w:rPr>
      </w:pPr>
    </w:p>
    <w:p>
      <w:pPr>
        <w:rPr>
          <w:rFonts w:hint="eastAsia"/>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rPr>
          <w:rFonts w:hint="eastAsia" w:ascii="宋体" w:hAnsi="宋体"/>
          <w:b/>
          <w:bCs/>
          <w:color w:val="000000"/>
          <w:sz w:val="32"/>
          <w:szCs w:val="32"/>
        </w:rPr>
      </w:pPr>
    </w:p>
    <w:p>
      <w:pPr>
        <w:snapToGrid w:val="0"/>
        <w:spacing w:line="440" w:lineRule="exact"/>
        <w:ind w:firstLine="2891" w:firstLineChars="900"/>
        <w:rPr>
          <w:rFonts w:hint="eastAsia" w:ascii="宋体" w:hAnsi="宋体"/>
          <w:b/>
          <w:bCs/>
          <w:color w:val="000000"/>
          <w:sz w:val="32"/>
          <w:szCs w:val="32"/>
        </w:rPr>
      </w:pPr>
      <w:r>
        <w:rPr>
          <w:rFonts w:hint="eastAsia" w:ascii="宋体" w:hAnsi="宋体"/>
          <w:b/>
          <w:bCs/>
          <w:color w:val="000000"/>
          <w:sz w:val="32"/>
          <w:szCs w:val="32"/>
        </w:rPr>
        <w:t>海口市市场监督管理局</w:t>
      </w:r>
    </w:p>
    <w:p>
      <w:pPr>
        <w:adjustRightInd w:val="0"/>
        <w:snapToGrid w:val="0"/>
        <w:spacing w:line="360" w:lineRule="auto"/>
        <w:jc w:val="center"/>
        <w:rPr>
          <w:rFonts w:hint="eastAsia" w:ascii="宋体" w:hAnsi="宋体"/>
          <w:b/>
          <w:bCs/>
          <w:color w:val="000000"/>
          <w:sz w:val="32"/>
          <w:szCs w:val="32"/>
        </w:rPr>
      </w:pPr>
      <w:r>
        <w:rPr>
          <w:rFonts w:hint="eastAsia" w:ascii="宋体" w:hAnsi="宋体"/>
          <w:b/>
          <w:bCs/>
          <w:color w:val="000000"/>
          <w:sz w:val="32"/>
          <w:szCs w:val="32"/>
        </w:rPr>
        <w:t>2023年8月</w:t>
      </w:r>
    </w:p>
    <w:p>
      <w:pPr>
        <w:adjustRightInd w:val="0"/>
        <w:snapToGrid w:val="0"/>
        <w:jc w:val="center"/>
        <w:rPr>
          <w:rFonts w:ascii="宋体" w:hAnsi="宋体" w:cs="宋体"/>
          <w:color w:val="000000"/>
          <w:sz w:val="28"/>
          <w:szCs w:val="28"/>
        </w:rPr>
      </w:pPr>
      <w:r>
        <w:rPr>
          <w:rFonts w:hint="eastAsia" w:ascii="宋体" w:hAnsi="宋体" w:cs="宋体"/>
          <w:color w:val="000000"/>
          <w:sz w:val="28"/>
          <w:szCs w:val="28"/>
        </w:rPr>
        <w:t>软体家具弹簧软床垫产品质量监督抽查实施细则</w:t>
      </w:r>
    </w:p>
    <w:p>
      <w:pPr>
        <w:adjustRightInd w:val="0"/>
        <w:snapToGrid w:val="0"/>
        <w:rPr>
          <w:rFonts w:ascii="宋体" w:hAnsi="宋体" w:cs="宋体"/>
          <w:color w:val="000000"/>
          <w:sz w:val="28"/>
          <w:szCs w:val="28"/>
          <w:lang w:val="en-GB"/>
        </w:rPr>
      </w:pPr>
      <w:r>
        <w:rPr>
          <w:rFonts w:hint="eastAsia" w:ascii="宋体" w:hAnsi="宋体" w:cs="宋体"/>
          <w:color w:val="000000"/>
          <w:sz w:val="28"/>
          <w:szCs w:val="28"/>
        </w:rPr>
        <w:t xml:space="preserve">1 </w:t>
      </w:r>
      <w:r>
        <w:rPr>
          <w:rFonts w:hint="eastAsia" w:ascii="宋体" w:hAnsi="宋体" w:cs="宋体"/>
          <w:color w:val="000000"/>
          <w:sz w:val="28"/>
          <w:szCs w:val="28"/>
          <w:lang w:val="en-GB"/>
        </w:rPr>
        <w:t>抽样方法</w:t>
      </w:r>
    </w:p>
    <w:p>
      <w:pPr>
        <w:adjustRightInd w:val="0"/>
        <w:snapToGrid w:val="0"/>
        <w:ind w:firstLine="557" w:firstLineChars="199"/>
        <w:rPr>
          <w:rFonts w:ascii="宋体" w:hAnsi="宋体" w:cs="宋体"/>
          <w:color w:val="000000"/>
          <w:sz w:val="28"/>
          <w:szCs w:val="28"/>
        </w:rPr>
      </w:pPr>
      <w:r>
        <w:rPr>
          <w:rFonts w:hint="eastAsia" w:ascii="宋体" w:hAnsi="宋体" w:cs="宋体"/>
          <w:color w:val="000000"/>
          <w:sz w:val="28"/>
          <w:szCs w:val="28"/>
        </w:rPr>
        <w:t>以随机抽样的方式抽取检验样品和备用样品。</w:t>
      </w:r>
    </w:p>
    <w:p>
      <w:pPr>
        <w:adjustRightInd w:val="0"/>
        <w:snapToGrid w:val="0"/>
        <w:ind w:firstLine="557" w:firstLineChars="199"/>
        <w:rPr>
          <w:rFonts w:ascii="宋体" w:hAnsi="宋体" w:cs="宋体"/>
          <w:color w:val="000000"/>
          <w:sz w:val="28"/>
          <w:szCs w:val="28"/>
          <w:lang w:val="en-GB"/>
        </w:rPr>
      </w:pPr>
      <w:r>
        <w:rPr>
          <w:rFonts w:hint="eastAsia" w:ascii="宋体" w:hAnsi="宋体" w:cs="宋体"/>
          <w:color w:val="000000"/>
          <w:sz w:val="28"/>
          <w:szCs w:val="28"/>
          <w:lang w:val="en-GB"/>
        </w:rPr>
        <w:t>每批次产品抽取样品</w:t>
      </w:r>
      <w:r>
        <w:rPr>
          <w:rFonts w:hint="eastAsia" w:ascii="宋体" w:hAnsi="宋体" w:cs="宋体"/>
          <w:color w:val="000000"/>
          <w:sz w:val="28"/>
          <w:szCs w:val="28"/>
        </w:rPr>
        <w:t>2件</w:t>
      </w:r>
      <w:r>
        <w:rPr>
          <w:rFonts w:hint="eastAsia" w:ascii="宋体" w:hAnsi="宋体" w:cs="宋体"/>
          <w:color w:val="000000"/>
          <w:sz w:val="28"/>
          <w:szCs w:val="28"/>
          <w:lang w:val="en-GB"/>
        </w:rPr>
        <w:t>，其中</w:t>
      </w:r>
      <w:r>
        <w:rPr>
          <w:rFonts w:hint="eastAsia" w:ascii="宋体" w:hAnsi="宋体" w:cs="宋体"/>
          <w:color w:val="000000"/>
          <w:sz w:val="28"/>
          <w:szCs w:val="28"/>
        </w:rPr>
        <w:t>1件</w:t>
      </w:r>
      <w:r>
        <w:rPr>
          <w:rFonts w:hint="eastAsia" w:ascii="宋体" w:hAnsi="宋体" w:cs="宋体"/>
          <w:color w:val="000000"/>
          <w:sz w:val="28"/>
          <w:szCs w:val="28"/>
          <w:lang w:val="en-GB"/>
        </w:rPr>
        <w:t>作为检验样品，</w:t>
      </w:r>
      <w:r>
        <w:rPr>
          <w:rFonts w:hint="eastAsia" w:ascii="宋体" w:hAnsi="宋体" w:cs="宋体"/>
          <w:color w:val="000000"/>
          <w:sz w:val="28"/>
          <w:szCs w:val="28"/>
        </w:rPr>
        <w:t>1件</w:t>
      </w:r>
      <w:r>
        <w:rPr>
          <w:rFonts w:hint="eastAsia" w:ascii="宋体" w:hAnsi="宋体" w:cs="宋体"/>
          <w:color w:val="000000"/>
          <w:sz w:val="28"/>
          <w:szCs w:val="28"/>
          <w:lang w:val="en-GB"/>
        </w:rPr>
        <w:t>作为备用样品。</w:t>
      </w:r>
    </w:p>
    <w:p>
      <w:pPr>
        <w:pStyle w:val="3"/>
        <w:rPr>
          <w:rFonts w:ascii="宋体" w:hAnsi="宋体" w:cs="宋体"/>
          <w:color w:val="000000"/>
          <w:sz w:val="28"/>
          <w:szCs w:val="28"/>
          <w:lang w:val="en-GB"/>
        </w:rPr>
      </w:pPr>
      <w:r>
        <w:rPr>
          <w:rFonts w:hint="eastAsia" w:ascii="宋体" w:hAnsi="宋体" w:cs="宋体"/>
          <w:color w:val="000000"/>
          <w:sz w:val="28"/>
          <w:szCs w:val="28"/>
        </w:rPr>
        <w:t xml:space="preserve">2 </w:t>
      </w:r>
      <w:r>
        <w:rPr>
          <w:rFonts w:hint="eastAsia" w:ascii="宋体" w:hAnsi="宋体" w:cs="宋体"/>
          <w:color w:val="000000"/>
          <w:sz w:val="28"/>
          <w:szCs w:val="28"/>
          <w:lang w:val="en-GB"/>
        </w:rPr>
        <w:t>检验依据</w:t>
      </w:r>
    </w:p>
    <w:p>
      <w:pPr>
        <w:jc w:val="center"/>
        <w:rPr>
          <w:rFonts w:ascii="宋体" w:hAnsi="宋体" w:cs="宋体"/>
          <w:color w:val="000000"/>
          <w:sz w:val="28"/>
          <w:szCs w:val="28"/>
          <w:lang w:val="en-GB"/>
        </w:rPr>
      </w:pPr>
      <w:r>
        <w:rPr>
          <w:rFonts w:hint="eastAsia" w:ascii="宋体" w:hAnsi="宋体" w:cs="宋体"/>
          <w:color w:val="000000"/>
          <w:sz w:val="28"/>
          <w:szCs w:val="28"/>
          <w:lang w:val="en-GB"/>
        </w:rPr>
        <w:t>表</w:t>
      </w:r>
      <w:r>
        <w:rPr>
          <w:rFonts w:hint="eastAsia" w:ascii="宋体" w:hAnsi="宋体" w:cs="宋体"/>
          <w:color w:val="000000"/>
          <w:sz w:val="28"/>
          <w:szCs w:val="28"/>
        </w:rPr>
        <w:t>1 软体家具弹簧软床垫</w:t>
      </w:r>
      <w:r>
        <w:rPr>
          <w:rFonts w:hint="eastAsia" w:ascii="宋体" w:hAnsi="宋体" w:cs="宋体"/>
          <w:color w:val="000000"/>
          <w:sz w:val="28"/>
          <w:szCs w:val="28"/>
          <w:lang w:val="en-GB"/>
        </w:rPr>
        <w:t>检验项目</w:t>
      </w:r>
    </w:p>
    <w:tbl>
      <w:tblPr>
        <w:tblStyle w:val="7"/>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4002"/>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blHeader/>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序号</w:t>
            </w:r>
          </w:p>
        </w:tc>
        <w:tc>
          <w:tcPr>
            <w:tcW w:w="4002" w:type="dxa"/>
            <w:vAlign w:val="center"/>
          </w:tcPr>
          <w:p>
            <w:pPr>
              <w:jc w:val="center"/>
              <w:rPr>
                <w:rFonts w:ascii="宋体" w:hAnsi="宋体" w:cs="宋体"/>
                <w:sz w:val="28"/>
                <w:szCs w:val="28"/>
              </w:rPr>
            </w:pPr>
            <w:r>
              <w:rPr>
                <w:rFonts w:hint="eastAsia" w:ascii="宋体" w:hAnsi="宋体" w:cs="宋体"/>
                <w:sz w:val="28"/>
                <w:szCs w:val="28"/>
              </w:rPr>
              <w:t>检验项目</w:t>
            </w:r>
          </w:p>
        </w:tc>
        <w:tc>
          <w:tcPr>
            <w:tcW w:w="3536" w:type="dxa"/>
            <w:vAlign w:val="center"/>
          </w:tcPr>
          <w:p>
            <w:pPr>
              <w:jc w:val="center"/>
              <w:rPr>
                <w:rFonts w:ascii="宋体" w:hAnsi="宋体" w:cs="宋体"/>
                <w:sz w:val="28"/>
                <w:szCs w:val="28"/>
              </w:rPr>
            </w:pPr>
            <w:r>
              <w:rPr>
                <w:rFonts w:hint="eastAsia" w:ascii="宋体" w:hAnsi="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1</w:t>
            </w:r>
          </w:p>
        </w:tc>
        <w:tc>
          <w:tcPr>
            <w:tcW w:w="4002" w:type="dxa"/>
            <w:vAlign w:val="center"/>
          </w:tcPr>
          <w:p>
            <w:pPr>
              <w:jc w:val="center"/>
              <w:rPr>
                <w:rFonts w:ascii="宋体" w:hAnsi="宋体" w:cs="宋体"/>
                <w:sz w:val="28"/>
                <w:szCs w:val="28"/>
              </w:rPr>
            </w:pPr>
            <w:r>
              <w:rPr>
                <w:rFonts w:hint="eastAsia" w:ascii="宋体" w:hAnsi="宋体" w:cs="宋体"/>
                <w:sz w:val="28"/>
                <w:szCs w:val="28"/>
              </w:rPr>
              <w:t>尺寸偏差</w:t>
            </w:r>
          </w:p>
        </w:tc>
        <w:tc>
          <w:tcPr>
            <w:tcW w:w="3536" w:type="dxa"/>
            <w:vAlign w:val="center"/>
          </w:tcPr>
          <w:p>
            <w:pPr>
              <w:jc w:val="center"/>
              <w:rPr>
                <w:rFonts w:ascii="宋体" w:hAnsi="宋体" w:cs="宋体"/>
                <w:sz w:val="28"/>
                <w:szCs w:val="28"/>
              </w:rPr>
            </w:pPr>
            <w:r>
              <w:rPr>
                <w:rFonts w:hint="eastAsia" w:ascii="宋体" w:hAnsi="宋体" w:cs="宋体"/>
                <w:sz w:val="28"/>
                <w:szCs w:val="28"/>
              </w:rPr>
              <w:t>QB/T 1952.2-2011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2</w:t>
            </w:r>
          </w:p>
        </w:tc>
        <w:tc>
          <w:tcPr>
            <w:tcW w:w="4002" w:type="dxa"/>
            <w:vAlign w:val="center"/>
          </w:tcPr>
          <w:p>
            <w:pPr>
              <w:jc w:val="center"/>
              <w:rPr>
                <w:rFonts w:ascii="宋体" w:hAnsi="宋体" w:cs="宋体"/>
                <w:sz w:val="28"/>
                <w:szCs w:val="28"/>
              </w:rPr>
            </w:pPr>
            <w:r>
              <w:rPr>
                <w:rFonts w:hint="eastAsia" w:ascii="宋体" w:hAnsi="宋体" w:cs="宋体"/>
                <w:sz w:val="28"/>
                <w:szCs w:val="28"/>
              </w:rPr>
              <w:t>床垫铺面对角线偏差</w:t>
            </w:r>
          </w:p>
        </w:tc>
        <w:tc>
          <w:tcPr>
            <w:tcW w:w="3536" w:type="dxa"/>
            <w:vAlign w:val="center"/>
          </w:tcPr>
          <w:p>
            <w:pPr>
              <w:jc w:val="center"/>
              <w:rPr>
                <w:rFonts w:ascii="宋体" w:hAnsi="宋体" w:cs="宋体"/>
                <w:sz w:val="28"/>
                <w:szCs w:val="28"/>
              </w:rPr>
            </w:pPr>
            <w:r>
              <w:rPr>
                <w:rFonts w:hint="eastAsia" w:ascii="宋体" w:hAnsi="宋体" w:cs="宋体"/>
                <w:sz w:val="28"/>
                <w:szCs w:val="28"/>
              </w:rPr>
              <w:t>QB/T 1952.2-2011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3</w:t>
            </w:r>
          </w:p>
        </w:tc>
        <w:tc>
          <w:tcPr>
            <w:tcW w:w="4002" w:type="dxa"/>
            <w:vAlign w:val="center"/>
          </w:tcPr>
          <w:p>
            <w:pPr>
              <w:jc w:val="center"/>
              <w:rPr>
                <w:rFonts w:ascii="宋体" w:hAnsi="宋体" w:cs="宋体"/>
                <w:sz w:val="28"/>
                <w:szCs w:val="28"/>
              </w:rPr>
            </w:pPr>
            <w:r>
              <w:rPr>
                <w:rFonts w:hint="eastAsia" w:ascii="宋体" w:hAnsi="宋体" w:cs="宋体"/>
                <w:sz w:val="28"/>
                <w:szCs w:val="28"/>
              </w:rPr>
              <w:t>面料</w:t>
            </w:r>
          </w:p>
        </w:tc>
        <w:tc>
          <w:tcPr>
            <w:tcW w:w="3536" w:type="dxa"/>
            <w:vAlign w:val="center"/>
          </w:tcPr>
          <w:p>
            <w:pPr>
              <w:jc w:val="center"/>
              <w:rPr>
                <w:rFonts w:ascii="宋体" w:hAnsi="宋体" w:cs="宋体"/>
                <w:sz w:val="28"/>
                <w:szCs w:val="28"/>
              </w:rPr>
            </w:pPr>
            <w:r>
              <w:rPr>
                <w:rFonts w:hint="eastAsia" w:ascii="宋体" w:hAnsi="宋体" w:cs="宋体"/>
                <w:sz w:val="28"/>
                <w:szCs w:val="28"/>
              </w:rPr>
              <w:t>QB/T 1952.2-2011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4</w:t>
            </w:r>
          </w:p>
        </w:tc>
        <w:tc>
          <w:tcPr>
            <w:tcW w:w="4002" w:type="dxa"/>
            <w:vAlign w:val="center"/>
          </w:tcPr>
          <w:p>
            <w:pPr>
              <w:jc w:val="center"/>
              <w:rPr>
                <w:rFonts w:ascii="宋体" w:hAnsi="宋体" w:cs="宋体"/>
                <w:sz w:val="28"/>
                <w:szCs w:val="28"/>
              </w:rPr>
            </w:pPr>
            <w:r>
              <w:rPr>
                <w:rFonts w:hint="eastAsia" w:ascii="宋体" w:hAnsi="宋体" w:cs="宋体"/>
                <w:sz w:val="28"/>
                <w:szCs w:val="28"/>
              </w:rPr>
              <w:t>铺面、边面缝纫</w:t>
            </w:r>
          </w:p>
        </w:tc>
        <w:tc>
          <w:tcPr>
            <w:tcW w:w="3536" w:type="dxa"/>
            <w:vAlign w:val="center"/>
          </w:tcPr>
          <w:p>
            <w:pPr>
              <w:jc w:val="center"/>
              <w:rPr>
                <w:rFonts w:ascii="宋体" w:hAnsi="宋体" w:cs="宋体"/>
                <w:sz w:val="28"/>
                <w:szCs w:val="28"/>
              </w:rPr>
            </w:pPr>
            <w:r>
              <w:rPr>
                <w:rFonts w:hint="eastAsia" w:ascii="宋体" w:hAnsi="宋体" w:cs="宋体"/>
                <w:sz w:val="28"/>
                <w:szCs w:val="28"/>
              </w:rPr>
              <w:t>QB/T 1952.2-2011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5</w:t>
            </w:r>
          </w:p>
        </w:tc>
        <w:tc>
          <w:tcPr>
            <w:tcW w:w="4002" w:type="dxa"/>
            <w:vAlign w:val="center"/>
          </w:tcPr>
          <w:p>
            <w:pPr>
              <w:jc w:val="center"/>
              <w:rPr>
                <w:rFonts w:ascii="宋体" w:hAnsi="宋体" w:cs="宋体"/>
                <w:sz w:val="28"/>
                <w:szCs w:val="28"/>
              </w:rPr>
            </w:pPr>
            <w:r>
              <w:rPr>
                <w:rFonts w:hint="eastAsia" w:ascii="宋体" w:hAnsi="宋体" w:cs="宋体"/>
                <w:sz w:val="28"/>
                <w:szCs w:val="28"/>
              </w:rPr>
              <w:t>弹簧</w:t>
            </w:r>
          </w:p>
        </w:tc>
        <w:tc>
          <w:tcPr>
            <w:tcW w:w="3536" w:type="dxa"/>
            <w:vAlign w:val="center"/>
          </w:tcPr>
          <w:p>
            <w:pPr>
              <w:jc w:val="center"/>
              <w:rPr>
                <w:rFonts w:ascii="宋体" w:hAnsi="宋体" w:cs="宋体"/>
                <w:sz w:val="28"/>
                <w:szCs w:val="28"/>
              </w:rPr>
            </w:pPr>
            <w:r>
              <w:rPr>
                <w:rFonts w:hint="eastAsia" w:ascii="宋体" w:hAnsi="宋体" w:cs="宋体"/>
                <w:sz w:val="28"/>
                <w:szCs w:val="28"/>
              </w:rPr>
              <w:t>QB/T 1952.2-2011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6</w:t>
            </w:r>
          </w:p>
        </w:tc>
        <w:tc>
          <w:tcPr>
            <w:tcW w:w="4002" w:type="dxa"/>
            <w:vAlign w:val="center"/>
          </w:tcPr>
          <w:p>
            <w:pPr>
              <w:jc w:val="center"/>
              <w:rPr>
                <w:rFonts w:ascii="宋体" w:hAnsi="宋体" w:cs="宋体"/>
                <w:sz w:val="28"/>
                <w:szCs w:val="28"/>
              </w:rPr>
            </w:pPr>
            <w:r>
              <w:rPr>
                <w:rFonts w:hint="eastAsia" w:ascii="宋体" w:hAnsi="宋体" w:cs="宋体"/>
                <w:sz w:val="28"/>
                <w:szCs w:val="28"/>
              </w:rPr>
              <w:t>缝边</w:t>
            </w:r>
          </w:p>
        </w:tc>
        <w:tc>
          <w:tcPr>
            <w:tcW w:w="3536" w:type="dxa"/>
            <w:vAlign w:val="center"/>
          </w:tcPr>
          <w:p>
            <w:pPr>
              <w:jc w:val="center"/>
              <w:rPr>
                <w:rFonts w:ascii="宋体" w:hAnsi="宋体" w:cs="宋体"/>
                <w:sz w:val="28"/>
                <w:szCs w:val="28"/>
              </w:rPr>
            </w:pPr>
            <w:r>
              <w:rPr>
                <w:rFonts w:hint="eastAsia" w:ascii="宋体" w:hAnsi="宋体" w:cs="宋体"/>
                <w:sz w:val="28"/>
                <w:szCs w:val="28"/>
              </w:rPr>
              <w:t>QB/T 1952.2-2011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7</w:t>
            </w:r>
          </w:p>
        </w:tc>
        <w:tc>
          <w:tcPr>
            <w:tcW w:w="4002" w:type="dxa"/>
            <w:vAlign w:val="center"/>
          </w:tcPr>
          <w:p>
            <w:pPr>
              <w:jc w:val="center"/>
              <w:rPr>
                <w:rFonts w:ascii="宋体" w:hAnsi="宋体" w:cs="宋体"/>
                <w:sz w:val="28"/>
                <w:szCs w:val="28"/>
                <w:lang w:val="zh-CN"/>
              </w:rPr>
            </w:pPr>
            <w:r>
              <w:rPr>
                <w:rFonts w:hint="eastAsia" w:ascii="宋体" w:hAnsi="宋体" w:cs="宋体"/>
                <w:sz w:val="28"/>
                <w:szCs w:val="28"/>
              </w:rPr>
              <w:t>面料物理性能</w:t>
            </w:r>
          </w:p>
        </w:tc>
        <w:tc>
          <w:tcPr>
            <w:tcW w:w="3536" w:type="dxa"/>
            <w:vAlign w:val="center"/>
          </w:tcPr>
          <w:p>
            <w:pPr>
              <w:jc w:val="center"/>
              <w:rPr>
                <w:rFonts w:ascii="宋体" w:hAnsi="宋体" w:cs="宋体"/>
                <w:sz w:val="28"/>
                <w:szCs w:val="28"/>
              </w:rPr>
            </w:pPr>
            <w:r>
              <w:rPr>
                <w:rFonts w:hint="eastAsia" w:ascii="宋体" w:hAnsi="宋体" w:cs="宋体"/>
                <w:sz w:val="28"/>
                <w:szCs w:val="28"/>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8</w:t>
            </w:r>
          </w:p>
        </w:tc>
        <w:tc>
          <w:tcPr>
            <w:tcW w:w="4002" w:type="dxa"/>
            <w:vAlign w:val="center"/>
          </w:tcPr>
          <w:p>
            <w:pPr>
              <w:jc w:val="center"/>
              <w:rPr>
                <w:rFonts w:ascii="宋体" w:hAnsi="宋体" w:cs="宋体"/>
                <w:sz w:val="28"/>
                <w:szCs w:val="28"/>
                <w:lang w:val="zh-CN"/>
              </w:rPr>
            </w:pPr>
            <w:r>
              <w:rPr>
                <w:rFonts w:hint="eastAsia" w:ascii="宋体" w:hAnsi="宋体" w:cs="宋体"/>
                <w:color w:val="auto"/>
                <w:sz w:val="28"/>
                <w:szCs w:val="28"/>
              </w:rPr>
              <w:t>拉伸强度</w:t>
            </w:r>
          </w:p>
        </w:tc>
        <w:tc>
          <w:tcPr>
            <w:tcW w:w="3536" w:type="dxa"/>
            <w:vAlign w:val="center"/>
          </w:tcPr>
          <w:p>
            <w:pPr>
              <w:jc w:val="center"/>
              <w:rPr>
                <w:rFonts w:ascii="宋体" w:hAnsi="宋体" w:cs="宋体"/>
                <w:sz w:val="28"/>
                <w:szCs w:val="28"/>
              </w:rPr>
            </w:pPr>
            <w:r>
              <w:rPr>
                <w:rFonts w:hint="eastAsia" w:ascii="宋体" w:hAnsi="宋体" w:cs="宋体"/>
                <w:sz w:val="28"/>
                <w:szCs w:val="28"/>
              </w:rPr>
              <w:t>GB/T 6344-2008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9</w:t>
            </w:r>
          </w:p>
        </w:tc>
        <w:tc>
          <w:tcPr>
            <w:tcW w:w="4002" w:type="dxa"/>
            <w:vAlign w:val="center"/>
          </w:tcPr>
          <w:p>
            <w:pPr>
              <w:jc w:val="center"/>
              <w:rPr>
                <w:rFonts w:ascii="宋体" w:hAnsi="宋体" w:cs="宋体"/>
                <w:sz w:val="28"/>
                <w:szCs w:val="28"/>
                <w:lang w:val="zh-CN"/>
              </w:rPr>
            </w:pPr>
            <w:r>
              <w:rPr>
                <w:rFonts w:hint="eastAsia" w:ascii="宋体" w:hAnsi="宋体" w:cs="宋体"/>
                <w:sz w:val="28"/>
                <w:szCs w:val="28"/>
              </w:rPr>
              <w:t>卫生、安全</w:t>
            </w:r>
          </w:p>
        </w:tc>
        <w:tc>
          <w:tcPr>
            <w:tcW w:w="3536" w:type="dxa"/>
            <w:vAlign w:val="center"/>
          </w:tcPr>
          <w:p>
            <w:pPr>
              <w:jc w:val="center"/>
              <w:rPr>
                <w:rFonts w:ascii="宋体" w:hAnsi="宋体" w:cs="宋体"/>
                <w:sz w:val="28"/>
                <w:szCs w:val="28"/>
              </w:rPr>
            </w:pPr>
            <w:r>
              <w:rPr>
                <w:rFonts w:hint="eastAsia" w:ascii="宋体" w:hAnsi="宋体" w:cs="宋体"/>
                <w:sz w:val="28"/>
                <w:szCs w:val="28"/>
              </w:rPr>
              <w:t>QB/T 1952.2-2011</w:t>
            </w:r>
          </w:p>
        </w:tc>
      </w:tr>
    </w:tbl>
    <w:p>
      <w:pPr>
        <w:ind w:firstLine="560" w:firstLineChars="20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注：执行企业标准、团体标准、地方标准的产品，检验项目参照上述内容执行。</w:t>
      </w:r>
    </w:p>
    <w:p>
      <w:pPr>
        <w:ind w:firstLine="560" w:firstLineChars="200"/>
        <w:jc w:val="left"/>
        <w:rPr>
          <w:rFonts w:ascii="宋体" w:hAnsi="宋体" w:cs="宋体"/>
          <w:bCs/>
          <w:sz w:val="28"/>
          <w:szCs w:val="28"/>
        </w:rPr>
      </w:pPr>
      <w:r>
        <w:rPr>
          <w:rFonts w:hint="eastAsia" w:ascii="宋体" w:hAnsi="宋体" w:cs="宋体"/>
          <w:bCs/>
          <w:sz w:val="28"/>
          <w:szCs w:val="28"/>
        </w:rPr>
        <w:t>凡是注日期的文件，其随后所有的修改单（不包括勘误的内容）或修订版不适用于本细则。凡是不注日期的文件，其最新版本适用于本细则。</w:t>
      </w:r>
    </w:p>
    <w:p>
      <w:pPr>
        <w:ind w:firstLine="560" w:firstLineChars="200"/>
        <w:rPr>
          <w:rFonts w:ascii="宋体" w:hAnsi="宋体" w:cs="宋体"/>
          <w:bCs/>
          <w:sz w:val="28"/>
          <w:szCs w:val="28"/>
        </w:rPr>
      </w:pPr>
      <w:r>
        <w:rPr>
          <w:rFonts w:hint="eastAsia" w:ascii="宋体" w:hAnsi="宋体" w:cs="宋体"/>
          <w:bCs/>
          <w:sz w:val="28"/>
          <w:szCs w:val="28"/>
        </w:rPr>
        <w:t>依照有关规定或产品适用标准，需要检测的其他项目，可视情况进行调整。</w:t>
      </w:r>
    </w:p>
    <w:p>
      <w:pPr>
        <w:rPr>
          <w:rFonts w:ascii="宋体" w:hAnsi="宋体" w:cs="宋体"/>
          <w:bCs/>
          <w:sz w:val="28"/>
          <w:szCs w:val="28"/>
          <w:lang w:val="en-GB"/>
        </w:rPr>
      </w:pPr>
      <w:r>
        <w:rPr>
          <w:rFonts w:hint="eastAsia" w:ascii="宋体" w:hAnsi="宋体" w:cs="宋体"/>
          <w:bCs/>
          <w:sz w:val="28"/>
          <w:szCs w:val="28"/>
        </w:rPr>
        <w:t xml:space="preserve">3 </w:t>
      </w:r>
      <w:r>
        <w:rPr>
          <w:rFonts w:hint="eastAsia" w:ascii="宋体" w:hAnsi="宋体" w:cs="宋体"/>
          <w:bCs/>
          <w:sz w:val="28"/>
          <w:szCs w:val="28"/>
          <w:lang w:val="en-GB"/>
        </w:rPr>
        <w:t>判定规则</w:t>
      </w:r>
    </w:p>
    <w:p>
      <w:pPr>
        <w:rPr>
          <w:rFonts w:ascii="宋体" w:hAnsi="宋体" w:cs="宋体"/>
          <w:sz w:val="28"/>
          <w:szCs w:val="28"/>
          <w:lang w:val="en-GB"/>
        </w:rPr>
      </w:pPr>
      <w:r>
        <w:rPr>
          <w:rFonts w:hint="eastAsia" w:ascii="宋体" w:hAnsi="宋体" w:cs="宋体"/>
          <w:sz w:val="28"/>
          <w:szCs w:val="28"/>
        </w:rPr>
        <w:t>3.1</w:t>
      </w:r>
      <w:r>
        <w:rPr>
          <w:rFonts w:hint="eastAsia" w:ascii="宋体" w:hAnsi="宋体" w:cs="宋体"/>
          <w:sz w:val="28"/>
          <w:szCs w:val="28"/>
          <w:lang w:val="en-GB"/>
        </w:rPr>
        <w:t>依据标准</w:t>
      </w:r>
    </w:p>
    <w:p>
      <w:pPr>
        <w:snapToGrid w:val="0"/>
        <w:ind w:firstLine="557" w:firstLineChars="199"/>
        <w:rPr>
          <w:rFonts w:ascii="宋体" w:hAnsi="宋体" w:cs="宋体"/>
          <w:color w:val="000000"/>
          <w:sz w:val="28"/>
          <w:szCs w:val="28"/>
          <w:lang w:val="en-GB"/>
        </w:rPr>
      </w:pPr>
      <w:r>
        <w:rPr>
          <w:rFonts w:hint="eastAsia" w:ascii="宋体" w:hAnsi="宋体" w:cs="宋体"/>
          <w:color w:val="000000"/>
          <w:sz w:val="28"/>
          <w:szCs w:val="28"/>
          <w:lang w:val="en-GB"/>
        </w:rPr>
        <w:t>QB/T 1952.2-2011</w:t>
      </w:r>
      <w:r>
        <w:rPr>
          <w:rFonts w:hint="eastAsia" w:ascii="宋体" w:hAnsi="宋体" w:cs="宋体"/>
          <w:color w:val="000000"/>
          <w:sz w:val="28"/>
          <w:szCs w:val="28"/>
          <w:lang w:val="en-GB"/>
        </w:rPr>
        <w:tab/>
      </w:r>
      <w:r>
        <w:rPr>
          <w:rFonts w:hint="eastAsia" w:ascii="宋体" w:hAnsi="宋体" w:cs="宋体"/>
          <w:color w:val="000000"/>
          <w:sz w:val="28"/>
          <w:szCs w:val="28"/>
          <w:lang w:val="en-GB"/>
        </w:rPr>
        <w:t>软体家具 弹簧软床垫</w:t>
      </w:r>
    </w:p>
    <w:p>
      <w:pPr>
        <w:snapToGrid w:val="0"/>
        <w:ind w:firstLine="557" w:firstLineChars="199"/>
        <w:rPr>
          <w:rFonts w:ascii="宋体" w:hAnsi="宋体" w:cs="宋体"/>
          <w:kern w:val="0"/>
          <w:sz w:val="28"/>
          <w:szCs w:val="28"/>
        </w:rPr>
      </w:pPr>
      <w:r>
        <w:rPr>
          <w:rFonts w:hint="eastAsia" w:ascii="宋体" w:hAnsi="宋体" w:cs="宋体"/>
          <w:kern w:val="0"/>
          <w:sz w:val="28"/>
          <w:szCs w:val="28"/>
        </w:rPr>
        <w:t>相关的法律、行政法规、部门规章、规范性文件</w:t>
      </w:r>
    </w:p>
    <w:p>
      <w:pPr>
        <w:pStyle w:val="3"/>
        <w:spacing w:after="0"/>
        <w:ind w:firstLine="560" w:firstLineChars="200"/>
        <w:rPr>
          <w:rFonts w:ascii="宋体" w:hAnsi="宋体" w:cs="宋体"/>
          <w:color w:val="000000"/>
          <w:sz w:val="28"/>
          <w:szCs w:val="28"/>
          <w:lang w:val="en-GB"/>
        </w:rPr>
      </w:pPr>
      <w:r>
        <w:rPr>
          <w:rFonts w:hint="eastAsia" w:ascii="宋体" w:hAnsi="宋体" w:cs="宋体"/>
          <w:kern w:val="0"/>
          <w:sz w:val="28"/>
          <w:szCs w:val="28"/>
        </w:rPr>
        <w:t>现行有效的企业标准、团体标准、地方标准及产品明示质量要求。</w:t>
      </w:r>
    </w:p>
    <w:p>
      <w:pPr>
        <w:pStyle w:val="3"/>
        <w:spacing w:after="0"/>
        <w:rPr>
          <w:rFonts w:ascii="宋体" w:hAnsi="宋体" w:cs="宋体"/>
          <w:color w:val="000000"/>
          <w:sz w:val="28"/>
          <w:szCs w:val="28"/>
          <w:lang w:val="en-GB"/>
        </w:rPr>
      </w:pPr>
      <w:r>
        <w:rPr>
          <w:rFonts w:hint="eastAsia" w:ascii="宋体" w:hAnsi="宋体" w:cs="宋体"/>
          <w:color w:val="000000"/>
          <w:sz w:val="28"/>
          <w:szCs w:val="28"/>
          <w:lang w:val="en-GB"/>
        </w:rPr>
        <w:t>3.2判定原则</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经检验，检验项目全部合格，判定为被抽查产品所检项目未发现不合格；检验项目中任一项或一项以上不合格，判定为被抽查产品不合格。</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若被检产品明示的质量要求高于本细则中检验项目依据的标准要求时，应按被检产品明示的质量要求判定。</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若被检产品明示的质量要求低于本细则中检验项目依据的强制性标准要求时，应按照强制性标准要求判定。</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若被检产品明示的质量要求低于或包含本细则中检验项目依据的推荐性标准要求时，应以被检产品明示的质量要求判定。</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若被检产品明示的质量要求缺少本细则中检验项目依据的强制性标准要求时，应按照强制性标准要求判定。</w:t>
      </w:r>
    </w:p>
    <w:p>
      <w:pPr>
        <w:pStyle w:val="3"/>
        <w:spacing w:after="0"/>
        <w:ind w:firstLine="560" w:firstLineChars="200"/>
      </w:pPr>
      <w:r>
        <w:rPr>
          <w:rFonts w:hint="eastAsia" w:ascii="宋体" w:hAnsi="宋体" w:cs="宋体"/>
          <w:color w:val="000000"/>
          <w:sz w:val="28"/>
          <w:szCs w:val="28"/>
          <w:lang w:val="en-GB"/>
        </w:rPr>
        <w:t>若被检产品明示的质量要求缺少本细则中检验项目依据的推荐性标准要求时，该项目不参与判定。</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ZmVmNmUxZGUyMzc3ZjhlODU5MjM4M2Q2Y2I3YmQifQ=="/>
  </w:docVars>
  <w:rsids>
    <w:rsidRoot w:val="262A10FD"/>
    <w:rsid w:val="003C63C8"/>
    <w:rsid w:val="007A1F17"/>
    <w:rsid w:val="008E1CCB"/>
    <w:rsid w:val="0ABF7EE6"/>
    <w:rsid w:val="14FE4DDE"/>
    <w:rsid w:val="16D637EF"/>
    <w:rsid w:val="17874F94"/>
    <w:rsid w:val="1AAD7E74"/>
    <w:rsid w:val="1B73636E"/>
    <w:rsid w:val="241910E8"/>
    <w:rsid w:val="254D5AC2"/>
    <w:rsid w:val="262A10FD"/>
    <w:rsid w:val="2D643517"/>
    <w:rsid w:val="34534A2E"/>
    <w:rsid w:val="37B678B8"/>
    <w:rsid w:val="5314122E"/>
    <w:rsid w:val="54B96281"/>
    <w:rsid w:val="645070A6"/>
    <w:rsid w:val="665F48FF"/>
    <w:rsid w:val="692379F4"/>
    <w:rsid w:val="6F16157F"/>
    <w:rsid w:val="74AE7C10"/>
    <w:rsid w:val="787B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szCs w:val="20"/>
    </w:rPr>
  </w:style>
  <w:style w:type="paragraph" w:styleId="3">
    <w:name w:val="Body Text"/>
    <w:basedOn w:val="1"/>
    <w:qFormat/>
    <w:uiPriority w:val="0"/>
    <w:pPr>
      <w:spacing w:after="120"/>
    </w:pPr>
  </w:style>
  <w:style w:type="paragraph" w:styleId="4">
    <w:name w:val="Body Text Indent"/>
    <w:basedOn w:val="1"/>
    <w:qFormat/>
    <w:uiPriority w:val="0"/>
    <w:pPr>
      <w:ind w:firstLine="600" w:firstLineChars="200"/>
    </w:pPr>
    <w:rPr>
      <w:rFonts w:ascii="Times New Roman" w:hAnsi="Times New Roman" w:eastAsia="仿宋_GB2312"/>
      <w:sz w:val="30"/>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toc 1"/>
    <w:basedOn w:val="1"/>
    <w:next w:val="1"/>
    <w:unhideWhenUsed/>
    <w:uiPriority w:val="39"/>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145</Words>
  <Characters>831</Characters>
  <Lines>6</Lines>
  <Paragraphs>1</Paragraphs>
  <TotalTime>1</TotalTime>
  <ScaleCrop>false</ScaleCrop>
  <LinksUpToDate>false</LinksUpToDate>
  <CharactersWithSpaces>975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2023-02-16T05:44:00Z</dcterms:created>
  <dc:creator>山在那里</dc:creator>
  <cp:lastModifiedBy>123</cp:lastModifiedBy>
  <dcterms:modified xsi:type="dcterms:W3CDTF">2023-08-23T02:29:11Z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7B658155F1334301A50831A8693C00EC</vt:lpwstr>
  </property>
</Properties>
</file>